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545E7">
      <w:pPr>
        <w:pStyle w:val="21"/>
        <w:jc w:val="center"/>
        <w:rPr>
          <w:rFonts w:hint="default" w:ascii="仿宋" w:hAnsi="仿宋" w:eastAsia="仿宋" w:cs="仿宋"/>
          <w:b/>
          <w:sz w:val="72"/>
          <w:szCs w:val="72"/>
          <w:lang w:val="en-US" w:eastAsia="zh-CN"/>
        </w:rPr>
      </w:pPr>
      <w:r>
        <w:rPr>
          <w:rFonts w:hint="eastAsia" w:ascii="仿宋" w:hAnsi="仿宋" w:eastAsia="仿宋" w:cs="仿宋"/>
          <w:b/>
          <w:sz w:val="72"/>
          <w:szCs w:val="72"/>
        </w:rPr>
        <w:t>曲靖市</w:t>
      </w:r>
      <w:r>
        <w:rPr>
          <w:rFonts w:hint="eastAsia" w:ascii="仿宋" w:hAnsi="仿宋" w:eastAsia="仿宋" w:cs="仿宋"/>
          <w:b/>
          <w:sz w:val="72"/>
          <w:szCs w:val="72"/>
          <w:lang w:val="en-US" w:eastAsia="zh-CN"/>
        </w:rPr>
        <w:t>财政局</w:t>
      </w:r>
    </w:p>
    <w:p w14:paraId="2BE2ADA3">
      <w:pPr>
        <w:pStyle w:val="21"/>
        <w:rPr>
          <w:rFonts w:ascii="仿宋" w:hAnsi="仿宋" w:eastAsia="仿宋" w:cs="仿宋"/>
          <w:sz w:val="72"/>
          <w:szCs w:val="72"/>
        </w:rPr>
      </w:pPr>
    </w:p>
    <w:p w14:paraId="0141A5B4">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竞</w:t>
      </w:r>
    </w:p>
    <w:p w14:paraId="47E59921">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争</w:t>
      </w:r>
    </w:p>
    <w:p w14:paraId="037C20FA">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性</w:t>
      </w:r>
    </w:p>
    <w:p w14:paraId="4C8C7556">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磋</w:t>
      </w:r>
    </w:p>
    <w:p w14:paraId="35F94A68">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商</w:t>
      </w:r>
    </w:p>
    <w:p w14:paraId="4B0A5261">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文</w:t>
      </w:r>
    </w:p>
    <w:p w14:paraId="3F144D78">
      <w:pPr>
        <w:pStyle w:val="21"/>
        <w:spacing w:line="900" w:lineRule="exact"/>
        <w:jc w:val="center"/>
        <w:rPr>
          <w:rFonts w:ascii="方正隶书简体" w:hAnsi="方正隶书简体" w:eastAsia="方正隶书简体" w:cs="方正隶书简体"/>
          <w:b/>
          <w:sz w:val="72"/>
          <w:szCs w:val="18"/>
        </w:rPr>
      </w:pPr>
      <w:r>
        <w:rPr>
          <w:rFonts w:hint="eastAsia" w:ascii="方正隶书简体" w:hAnsi="方正隶书简体" w:eastAsia="方正隶书简体" w:cs="方正隶书简体"/>
          <w:b/>
          <w:sz w:val="72"/>
          <w:szCs w:val="18"/>
        </w:rPr>
        <w:t>件</w:t>
      </w:r>
    </w:p>
    <w:p w14:paraId="3E90056B"/>
    <w:p w14:paraId="5E09BACB">
      <w:pPr>
        <w:pStyle w:val="21"/>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仿宋" w:hAnsi="仿宋" w:eastAsia="仿宋" w:cs="仿宋"/>
          <w:sz w:val="36"/>
          <w:lang w:val="en" w:eastAsia="zh-CN"/>
        </w:rPr>
      </w:pPr>
      <w:r>
        <w:rPr>
          <w:rFonts w:hint="eastAsia" w:ascii="仿宋" w:hAnsi="仿宋" w:eastAsia="仿宋" w:cs="仿宋"/>
          <w:sz w:val="36"/>
        </w:rPr>
        <w:t>采购编号：QJ</w:t>
      </w:r>
      <w:r>
        <w:rPr>
          <w:rFonts w:hint="eastAsia" w:ascii="仿宋" w:hAnsi="仿宋" w:eastAsia="仿宋" w:cs="仿宋"/>
          <w:sz w:val="36"/>
          <w:lang w:val="en-US" w:eastAsia="zh-CN"/>
        </w:rPr>
        <w:t>CZ</w:t>
      </w:r>
      <w:r>
        <w:rPr>
          <w:rFonts w:hint="eastAsia" w:ascii="仿宋" w:hAnsi="仿宋" w:eastAsia="仿宋" w:cs="仿宋"/>
          <w:sz w:val="36"/>
        </w:rPr>
        <w:t>-</w:t>
      </w:r>
      <w:r>
        <w:rPr>
          <w:rFonts w:hint="eastAsia" w:ascii="仿宋" w:hAnsi="仿宋" w:eastAsia="仿宋" w:cs="仿宋"/>
          <w:sz w:val="36"/>
          <w:lang w:val="en-US" w:eastAsia="zh-CN"/>
        </w:rPr>
        <w:t>JZX</w:t>
      </w:r>
      <w:r>
        <w:rPr>
          <w:rFonts w:hint="eastAsia" w:ascii="仿宋" w:hAnsi="仿宋" w:eastAsia="仿宋" w:cs="仿宋"/>
          <w:sz w:val="36"/>
        </w:rPr>
        <w:t>CS20</w:t>
      </w:r>
      <w:r>
        <w:rPr>
          <w:rFonts w:hint="default" w:ascii="仿宋" w:hAnsi="仿宋" w:eastAsia="仿宋" w:cs="仿宋"/>
          <w:sz w:val="36"/>
          <w:lang w:val="en" w:eastAsia="zh-CN"/>
        </w:rPr>
        <w:t>2301</w:t>
      </w:r>
    </w:p>
    <w:p w14:paraId="0538EE08">
      <w:pPr>
        <w:rPr>
          <w:rFonts w:hint="default"/>
          <w:lang w:val="en" w:eastAsia="zh-CN"/>
        </w:rPr>
      </w:pPr>
    </w:p>
    <w:p w14:paraId="413561CD">
      <w:pPr>
        <w:pStyle w:val="21"/>
      </w:pPr>
    </w:p>
    <w:p w14:paraId="648A9DCC">
      <w:pPr>
        <w:pStyle w:val="21"/>
        <w:tabs>
          <w:tab w:val="left" w:pos="8580"/>
        </w:tabs>
      </w:pPr>
      <w:r>
        <w:rPr>
          <w:rFonts w:hint="eastAsia"/>
        </w:rPr>
        <w:t xml:space="preserve"> </w:t>
      </w:r>
    </w:p>
    <w:p w14:paraId="02510ECD">
      <w:pPr>
        <w:pStyle w:val="21"/>
      </w:pPr>
    </w:p>
    <w:p w14:paraId="5345D7B3">
      <w:pPr>
        <w:pStyle w:val="21"/>
        <w:sectPr>
          <w:headerReference r:id="rId5" w:type="first"/>
          <w:footerReference r:id="rId7" w:type="first"/>
          <w:headerReference r:id="rId4" w:type="default"/>
          <w:footerReference r:id="rId6" w:type="default"/>
          <w:pgSz w:w="11906" w:h="16838"/>
          <w:pgMar w:top="1134" w:right="1134" w:bottom="1247" w:left="1134" w:header="1020" w:footer="567" w:gutter="0"/>
          <w:cols w:space="720" w:num="1"/>
          <w:titlePg/>
          <w:docGrid w:linePitch="312" w:charSpace="0"/>
        </w:sectPr>
      </w:pPr>
    </w:p>
    <w:p w14:paraId="757855E5">
      <w:pPr>
        <w:jc w:val="center"/>
        <w:rPr>
          <w:rFonts w:ascii="宋体" w:hAnsi="宋体"/>
          <w:sz w:val="36"/>
          <w:szCs w:val="32"/>
        </w:rPr>
      </w:pPr>
    </w:p>
    <w:p w14:paraId="0B5076C6">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录</w:t>
      </w:r>
    </w:p>
    <w:p w14:paraId="65A65237">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eastAsia" w:ascii="仿宋" w:hAnsi="仿宋" w:eastAsia="仿宋" w:cs="仿宋"/>
          <w:b w:val="0"/>
          <w:bCs w:val="0"/>
          <w:caps w:val="0"/>
          <w:sz w:val="28"/>
          <w:szCs w:val="28"/>
        </w:rPr>
        <w:fldChar w:fldCharType="begin"/>
      </w:r>
      <w:r>
        <w:rPr>
          <w:rFonts w:hint="eastAsia" w:ascii="仿宋" w:hAnsi="仿宋" w:eastAsia="仿宋" w:cs="仿宋"/>
          <w:b w:val="0"/>
          <w:bCs w:val="0"/>
          <w:caps w:val="0"/>
          <w:sz w:val="28"/>
          <w:szCs w:val="28"/>
        </w:rPr>
        <w:instrText xml:space="preserve">TOC \o "1-3" \h \u </w:instrText>
      </w:r>
      <w:r>
        <w:rPr>
          <w:rFonts w:hint="eastAsia" w:ascii="仿宋" w:hAnsi="仿宋" w:eastAsia="仿宋" w:cs="仿宋"/>
          <w:b w:val="0"/>
          <w:bCs w:val="0"/>
          <w:caps w:val="0"/>
          <w:sz w:val="28"/>
          <w:szCs w:val="28"/>
        </w:rPr>
        <w:fldChar w:fldCharType="separate"/>
      </w: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_Toc17675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第一章  邀请书</w:t>
      </w:r>
      <w:r>
        <w:rPr>
          <w:rFonts w:hint="default" w:ascii="Times New Roman" w:hAnsi="Times New Roman" w:eastAsia="方正仿宋_GBK" w:cs="Times New Roman"/>
          <w:bCs w:val="0"/>
          <w:caps w:val="0"/>
          <w:sz w:val="32"/>
          <w:szCs w:val="32"/>
        </w:rPr>
        <w:fldChar w:fldCharType="end"/>
      </w:r>
    </w:p>
    <w:p w14:paraId="701ABFB1">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_Toc16285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第二章  文件和项目要求</w:t>
      </w:r>
      <w:r>
        <w:rPr>
          <w:rFonts w:hint="default" w:ascii="Times New Roman" w:hAnsi="Times New Roman" w:eastAsia="方正仿宋_GBK" w:cs="Times New Roman"/>
          <w:bCs w:val="0"/>
          <w:caps w:val="0"/>
          <w:sz w:val="32"/>
          <w:szCs w:val="32"/>
        </w:rPr>
        <w:fldChar w:fldCharType="end"/>
      </w:r>
    </w:p>
    <w:p w14:paraId="0963A190">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_Toc27878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第三章  供应商须知</w:t>
      </w:r>
      <w:r>
        <w:rPr>
          <w:rFonts w:hint="default" w:ascii="Times New Roman" w:hAnsi="Times New Roman" w:eastAsia="方正仿宋_GBK" w:cs="Times New Roman"/>
          <w:bCs w:val="0"/>
          <w:caps w:val="0"/>
          <w:sz w:val="32"/>
          <w:szCs w:val="32"/>
        </w:rPr>
        <w:fldChar w:fldCharType="end"/>
      </w:r>
    </w:p>
    <w:p w14:paraId="1E5E8E69">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_Toc21631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bCs/>
          <w:sz w:val="32"/>
          <w:szCs w:val="32"/>
        </w:rPr>
        <w:t>一、响应文件编制</w:t>
      </w:r>
      <w:r>
        <w:rPr>
          <w:rFonts w:hint="default" w:ascii="Times New Roman" w:hAnsi="Times New Roman" w:eastAsia="方正仿宋_GBK" w:cs="Times New Roman"/>
          <w:bCs w:val="0"/>
          <w:caps w:val="0"/>
          <w:sz w:val="32"/>
          <w:szCs w:val="32"/>
        </w:rPr>
        <w:fldChar w:fldCharType="end"/>
      </w:r>
    </w:p>
    <w:p w14:paraId="3C279C8D">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_Toc15368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二、及评审</w:t>
      </w:r>
      <w:r>
        <w:rPr>
          <w:rFonts w:hint="default" w:ascii="Times New Roman" w:hAnsi="Times New Roman" w:eastAsia="方正仿宋_GBK" w:cs="Times New Roman"/>
          <w:bCs w:val="0"/>
          <w:caps w:val="0"/>
          <w:sz w:val="32"/>
          <w:szCs w:val="32"/>
        </w:rPr>
        <w:fldChar w:fldCharType="end"/>
      </w:r>
    </w:p>
    <w:p w14:paraId="48682418">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_Toc9309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三、授予合同</w:t>
      </w:r>
      <w:r>
        <w:rPr>
          <w:rFonts w:hint="default" w:ascii="Times New Roman" w:hAnsi="Times New Roman" w:eastAsia="方正仿宋_GBK" w:cs="Times New Roman"/>
          <w:bCs w:val="0"/>
          <w:caps w:val="0"/>
          <w:sz w:val="32"/>
          <w:szCs w:val="32"/>
        </w:rPr>
        <w:fldChar w:fldCharType="end"/>
      </w:r>
    </w:p>
    <w:p w14:paraId="2B866E3A">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_Toc24769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 xml:space="preserve">第四章 </w:t>
      </w:r>
      <w:r>
        <w:rPr>
          <w:rFonts w:hint="default" w:ascii="Times New Roman" w:hAnsi="Times New Roman" w:eastAsia="方正仿宋_GBK" w:cs="Times New Roman"/>
          <w:sz w:val="32"/>
          <w:szCs w:val="32"/>
          <w:lang w:val="en-US" w:eastAsia="zh-CN"/>
        </w:rPr>
        <w:t>曲靖政府采购电子交易系统项目需求</w:t>
      </w:r>
      <w:r>
        <w:rPr>
          <w:rFonts w:hint="default" w:ascii="Times New Roman" w:hAnsi="Times New Roman" w:eastAsia="方正仿宋_GBK" w:cs="Times New Roman"/>
          <w:bCs w:val="0"/>
          <w:caps w:val="0"/>
          <w:sz w:val="32"/>
          <w:szCs w:val="32"/>
        </w:rPr>
        <w:fldChar w:fldCharType="end"/>
      </w:r>
    </w:p>
    <w:p w14:paraId="3E8AA5B3">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_Toc5340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第五章  合同格式文本</w:t>
      </w:r>
      <w:r>
        <w:rPr>
          <w:rFonts w:hint="default" w:ascii="Times New Roman" w:hAnsi="Times New Roman" w:eastAsia="方正仿宋_GBK" w:cs="Times New Roman"/>
          <w:bCs w:val="0"/>
          <w:caps w:val="0"/>
          <w:sz w:val="32"/>
          <w:szCs w:val="32"/>
        </w:rPr>
        <w:fldChar w:fldCharType="end"/>
      </w:r>
    </w:p>
    <w:p w14:paraId="4F159449">
      <w:pPr>
        <w:pStyle w:val="28"/>
        <w:keepNext w:val="0"/>
        <w:keepLines w:val="0"/>
        <w:pageBreakBefore w:val="0"/>
        <w:widowControl w:val="0"/>
        <w:tabs>
          <w:tab w:val="right" w:leader="dot" w:pos="9638"/>
        </w:tabs>
        <w:kinsoku/>
        <w:wordWrap/>
        <w:overflowPunct/>
        <w:topLinePunct w:val="0"/>
        <w:autoSpaceDE/>
        <w:autoSpaceDN/>
        <w:bidi w:val="0"/>
        <w:adjustRightInd/>
        <w:snapToGrid/>
        <w:spacing w:before="0" w:line="600" w:lineRule="exact"/>
        <w:ind w:left="0" w:leftChars="0"/>
        <w:textAlignment w:val="auto"/>
        <w:rPr>
          <w:rFonts w:hint="default" w:ascii="Times New Roman" w:hAnsi="Times New Roman"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_Toc8299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第六章   响应文件格式</w:t>
      </w:r>
      <w:r>
        <w:rPr>
          <w:rFonts w:hint="default" w:ascii="Times New Roman" w:hAnsi="Times New Roman" w:eastAsia="方正仿宋_GBK" w:cs="Times New Roman"/>
          <w:bCs w:val="0"/>
          <w:caps w:val="0"/>
          <w:sz w:val="32"/>
          <w:szCs w:val="32"/>
        </w:rPr>
        <w:fldChar w:fldCharType="end"/>
      </w:r>
    </w:p>
    <w:p w14:paraId="4016B992">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_Toc6924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一、响应说明</w:t>
      </w:r>
      <w:r>
        <w:rPr>
          <w:rFonts w:hint="default" w:ascii="Times New Roman" w:hAnsi="Times New Roman" w:eastAsia="方正仿宋_GBK" w:cs="Times New Roman"/>
          <w:bCs w:val="0"/>
          <w:caps w:val="0"/>
          <w:sz w:val="32"/>
          <w:szCs w:val="32"/>
        </w:rPr>
        <w:fldChar w:fldCharType="end"/>
      </w:r>
    </w:p>
    <w:p w14:paraId="7B847F1B">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_Toc21612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sz w:val="32"/>
          <w:szCs w:val="32"/>
        </w:rPr>
        <w:t>二、</w:t>
      </w:r>
      <w:r>
        <w:rPr>
          <w:rFonts w:hint="default" w:ascii="Times New Roman" w:hAnsi="Times New Roman" w:eastAsia="方正仿宋_GBK" w:cs="Times New Roman"/>
          <w:sz w:val="32"/>
          <w:szCs w:val="32"/>
          <w:lang w:eastAsia="zh-CN"/>
        </w:rPr>
        <w:t>报价表</w:t>
      </w:r>
      <w:r>
        <w:rPr>
          <w:rFonts w:hint="default" w:ascii="Times New Roman" w:hAnsi="Times New Roman" w:eastAsia="方正仿宋_GBK" w:cs="Times New Roman"/>
          <w:bCs w:val="0"/>
          <w:caps w:val="0"/>
          <w:sz w:val="32"/>
          <w:szCs w:val="32"/>
        </w:rPr>
        <w:fldChar w:fldCharType="end"/>
      </w:r>
    </w:p>
    <w:p w14:paraId="3D9E25A2">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_Toc26863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bCs w:val="0"/>
          <w:caps w:val="0"/>
          <w:sz w:val="32"/>
          <w:szCs w:val="32"/>
          <w:lang w:val="en-US" w:eastAsia="zh-CN"/>
        </w:rPr>
        <w:t>三</w:t>
      </w:r>
      <w:r>
        <w:rPr>
          <w:rFonts w:hint="default" w:ascii="Times New Roman" w:hAnsi="Times New Roman" w:eastAsia="方正仿宋_GBK" w:cs="Times New Roman"/>
          <w:bCs w:val="0"/>
          <w:sz w:val="32"/>
          <w:szCs w:val="32"/>
        </w:rPr>
        <w:t xml:space="preserve">、 </w:t>
      </w:r>
      <w:r>
        <w:rPr>
          <w:rFonts w:hint="default" w:ascii="Times New Roman" w:hAnsi="Times New Roman" w:eastAsia="方正仿宋_GBK" w:cs="Times New Roman"/>
          <w:bCs w:val="0"/>
          <w:kern w:val="0"/>
          <w:sz w:val="32"/>
          <w:szCs w:val="32"/>
        </w:rPr>
        <w:t>项目实施方案</w:t>
      </w:r>
      <w:r>
        <w:rPr>
          <w:rFonts w:hint="default" w:ascii="Times New Roman" w:hAnsi="Times New Roman" w:eastAsia="方正仿宋_GBK" w:cs="Times New Roman"/>
          <w:bCs w:val="0"/>
          <w:caps w:val="0"/>
          <w:sz w:val="32"/>
          <w:szCs w:val="32"/>
        </w:rPr>
        <w:fldChar w:fldCharType="end"/>
      </w:r>
    </w:p>
    <w:p w14:paraId="4E30EA2C">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bCs w:val="0"/>
          <w:caps w:val="0"/>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_Toc29742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bCs w:val="0"/>
          <w:caps w:val="0"/>
          <w:sz w:val="32"/>
          <w:szCs w:val="32"/>
          <w:lang w:val="en-US" w:eastAsia="zh-CN"/>
        </w:rPr>
        <w:t>四</w:t>
      </w:r>
      <w:r>
        <w:rPr>
          <w:rFonts w:hint="default" w:ascii="Times New Roman" w:hAnsi="Times New Roman" w:eastAsia="方正仿宋_GBK" w:cs="Times New Roman"/>
          <w:kern w:val="0"/>
          <w:sz w:val="32"/>
          <w:szCs w:val="32"/>
          <w:lang w:val="en-US" w:eastAsia="zh-CN"/>
        </w:rPr>
        <w:t>、中小</w:t>
      </w:r>
      <w:r>
        <w:rPr>
          <w:rFonts w:hint="default" w:ascii="Times New Roman" w:hAnsi="Times New Roman" w:eastAsia="方正仿宋_GBK" w:cs="Times New Roman"/>
          <w:kern w:val="0"/>
          <w:sz w:val="32"/>
          <w:szCs w:val="32"/>
        </w:rPr>
        <w:t>企业声明函</w:t>
      </w:r>
      <w:r>
        <w:rPr>
          <w:rFonts w:hint="default" w:ascii="Times New Roman" w:hAnsi="Times New Roman" w:eastAsia="方正仿宋_GBK" w:cs="Times New Roman"/>
          <w:bCs w:val="0"/>
          <w:caps w:val="0"/>
          <w:sz w:val="32"/>
          <w:szCs w:val="32"/>
        </w:rPr>
        <w:fldChar w:fldCharType="end"/>
      </w:r>
    </w:p>
    <w:p w14:paraId="328CA302">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default"/>
        </w:rPr>
      </w:pPr>
      <w:r>
        <w:rPr>
          <w:rFonts w:hint="eastAsia" w:ascii="方正黑体_GBK" w:hAnsi="方正黑体_GBK" w:eastAsia="方正黑体_GBK" w:cs="方正黑体_GBK"/>
          <w:b w:val="0"/>
          <w:bCs/>
          <w:kern w:val="0"/>
          <w:sz w:val="32"/>
          <w:szCs w:val="32"/>
          <w:lang w:val="en-US" w:eastAsia="zh-CN"/>
        </w:rPr>
        <w:t>五</w:t>
      </w:r>
      <w:r>
        <w:rPr>
          <w:rFonts w:hint="eastAsia" w:ascii="方正黑体_GBK" w:hAnsi="方正黑体_GBK" w:eastAsia="方正黑体_GBK" w:cs="方正黑体_GBK"/>
          <w:b w:val="0"/>
          <w:bCs/>
          <w:kern w:val="0"/>
          <w:sz w:val="32"/>
          <w:szCs w:val="32"/>
        </w:rPr>
        <w:t>、</w:t>
      </w:r>
      <w:r>
        <w:rPr>
          <w:rFonts w:hint="eastAsia" w:ascii="方正黑体_GBK" w:hAnsi="方正黑体_GBK" w:eastAsia="方正黑体_GBK" w:cs="方正黑体_GBK"/>
          <w:b w:val="0"/>
          <w:bCs/>
          <w:sz w:val="32"/>
          <w:szCs w:val="32"/>
        </w:rPr>
        <w:t>证明服务的合格性和符合文件规定的文件</w:t>
      </w:r>
    </w:p>
    <w:p w14:paraId="142F3848">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_Toc15318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kern w:val="0"/>
          <w:sz w:val="32"/>
          <w:szCs w:val="32"/>
          <w:lang w:val="en-US" w:eastAsia="zh-CN"/>
        </w:rPr>
        <w:t>六</w:t>
      </w:r>
      <w:r>
        <w:rPr>
          <w:rFonts w:hint="default" w:ascii="Times New Roman" w:hAnsi="Times New Roman" w:eastAsia="方正仿宋_GBK" w:cs="Times New Roman"/>
          <w:kern w:val="0"/>
          <w:sz w:val="32"/>
          <w:szCs w:val="32"/>
        </w:rPr>
        <w:t>、项目售后服务承诺</w:t>
      </w:r>
      <w:r>
        <w:rPr>
          <w:rFonts w:hint="default" w:ascii="Times New Roman" w:hAnsi="Times New Roman" w:eastAsia="方正仿宋_GBK" w:cs="Times New Roman"/>
          <w:bCs w:val="0"/>
          <w:caps w:val="0"/>
          <w:sz w:val="32"/>
          <w:szCs w:val="32"/>
        </w:rPr>
        <w:fldChar w:fldCharType="end"/>
      </w:r>
    </w:p>
    <w:p w14:paraId="741F62C0">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_Toc16834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bCs w:val="0"/>
          <w:caps w:val="0"/>
          <w:sz w:val="32"/>
          <w:szCs w:val="32"/>
          <w:lang w:val="en-US" w:eastAsia="zh-CN"/>
        </w:rPr>
        <w:t>七</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供应商资质和资信证明文件</w:t>
      </w:r>
      <w:r>
        <w:rPr>
          <w:rFonts w:hint="default" w:ascii="Times New Roman" w:hAnsi="Times New Roman" w:eastAsia="方正仿宋_GBK" w:cs="Times New Roman"/>
          <w:bCs w:val="0"/>
          <w:caps w:val="0"/>
          <w:sz w:val="32"/>
          <w:szCs w:val="32"/>
        </w:rPr>
        <w:fldChar w:fldCharType="end"/>
      </w:r>
    </w:p>
    <w:p w14:paraId="06A95FED">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_Toc15815 </w:instrText>
      </w:r>
      <w:r>
        <w:rPr>
          <w:rFonts w:hint="default" w:ascii="Times New Roman" w:hAnsi="Times New Roman" w:eastAsia="方正仿宋_GBK" w:cs="Times New Roman"/>
          <w:bCs w:val="0"/>
          <w:caps w:val="0"/>
          <w:sz w:val="32"/>
          <w:szCs w:val="32"/>
        </w:rPr>
        <w:fldChar w:fldCharType="separate"/>
      </w:r>
      <w:r>
        <w:rPr>
          <w:rFonts w:hint="eastAsia" w:eastAsia="方正仿宋_GBK" w:cs="Times New Roman"/>
          <w:bCs w:val="0"/>
          <w:caps w:val="0"/>
          <w:sz w:val="32"/>
          <w:szCs w:val="32"/>
          <w:lang w:val="en-US" w:eastAsia="zh-CN"/>
        </w:rPr>
        <w:t>八</w:t>
      </w:r>
      <w:r>
        <w:rPr>
          <w:rFonts w:hint="default" w:ascii="Times New Roman" w:hAnsi="Times New Roman" w:eastAsia="方正仿宋_GBK" w:cs="Times New Roman"/>
          <w:sz w:val="32"/>
          <w:szCs w:val="32"/>
        </w:rPr>
        <w:t>、其他资料</w:t>
      </w:r>
      <w:r>
        <w:rPr>
          <w:rFonts w:hint="default" w:ascii="Times New Roman" w:hAnsi="Times New Roman" w:eastAsia="方正仿宋_GBK" w:cs="Times New Roman"/>
          <w:bCs w:val="0"/>
          <w:caps w:val="0"/>
          <w:sz w:val="32"/>
          <w:szCs w:val="32"/>
        </w:rPr>
        <w:fldChar w:fldCharType="end"/>
      </w:r>
    </w:p>
    <w:p w14:paraId="02A259EE">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_Toc15180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bCs/>
          <w:sz w:val="32"/>
          <w:szCs w:val="32"/>
        </w:rPr>
        <w:t>法定代表人授权委托书（样式）</w:t>
      </w:r>
      <w:r>
        <w:rPr>
          <w:rFonts w:hint="default" w:ascii="Times New Roman" w:hAnsi="Times New Roman" w:eastAsia="方正仿宋_GBK" w:cs="Times New Roman"/>
          <w:bCs w:val="0"/>
          <w:caps w:val="0"/>
          <w:sz w:val="32"/>
          <w:szCs w:val="32"/>
        </w:rPr>
        <w:fldChar w:fldCharType="end"/>
      </w:r>
    </w:p>
    <w:p w14:paraId="5481FE1B">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_Toc23862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bCs/>
          <w:sz w:val="32"/>
          <w:szCs w:val="32"/>
        </w:rPr>
        <w:t>法定代表人资格证明（样式）</w:t>
      </w:r>
      <w:r>
        <w:rPr>
          <w:rFonts w:hint="default" w:ascii="Times New Roman" w:hAnsi="Times New Roman" w:eastAsia="方正仿宋_GBK" w:cs="Times New Roman"/>
          <w:bCs w:val="0"/>
          <w:caps w:val="0"/>
          <w:sz w:val="32"/>
          <w:szCs w:val="32"/>
        </w:rPr>
        <w:fldChar w:fldCharType="end"/>
      </w:r>
    </w:p>
    <w:p w14:paraId="178B220C">
      <w:pPr>
        <w:pStyle w:val="31"/>
        <w:keepNext w:val="0"/>
        <w:keepLines w:val="0"/>
        <w:pageBreakBefore w:val="0"/>
        <w:widowControl w:val="0"/>
        <w:tabs>
          <w:tab w:val="right" w:leader="dot" w:pos="9638"/>
        </w:tabs>
        <w:kinsoku/>
        <w:wordWrap/>
        <w:overflowPunct/>
        <w:topLinePunct w:val="0"/>
        <w:autoSpaceDE/>
        <w:autoSpaceDN/>
        <w:bidi w:val="0"/>
        <w:adjustRightInd/>
        <w:snapToGrid/>
        <w:spacing w:line="600" w:lineRule="exact"/>
        <w:ind w:left="0" w:leftChars="0"/>
        <w:textAlignment w:val="auto"/>
        <w:rPr>
          <w:rFonts w:hint="default" w:eastAsia="方正仿宋_GBK"/>
          <w:sz w:val="22"/>
          <w:szCs w:val="21"/>
          <w:lang w:val="en-US" w:eastAsia="zh-CN"/>
        </w:rPr>
      </w:pPr>
      <w:r>
        <w:rPr>
          <w:rFonts w:hint="default" w:ascii="Times New Roman" w:hAnsi="Times New Roman" w:eastAsia="方正仿宋_GBK" w:cs="Times New Roman"/>
          <w:bCs w:val="0"/>
          <w:caps w:val="0"/>
          <w:sz w:val="32"/>
          <w:szCs w:val="32"/>
        </w:rPr>
        <w:fldChar w:fldCharType="begin"/>
      </w:r>
      <w:r>
        <w:rPr>
          <w:rFonts w:hint="default" w:ascii="Times New Roman" w:hAnsi="Times New Roman" w:eastAsia="方正仿宋_GBK" w:cs="Times New Roman"/>
          <w:bCs w:val="0"/>
          <w:caps w:val="0"/>
          <w:sz w:val="32"/>
          <w:szCs w:val="32"/>
        </w:rPr>
        <w:instrText xml:space="preserve"> HYPERLINK \l _Toc6778 </w:instrText>
      </w:r>
      <w:r>
        <w:rPr>
          <w:rFonts w:hint="default" w:ascii="Times New Roman" w:hAnsi="Times New Roman" w:eastAsia="方正仿宋_GBK" w:cs="Times New Roman"/>
          <w:bCs w:val="0"/>
          <w:caps w:val="0"/>
          <w:sz w:val="32"/>
          <w:szCs w:val="32"/>
        </w:rPr>
        <w:fldChar w:fldCharType="separate"/>
      </w:r>
      <w:r>
        <w:rPr>
          <w:rFonts w:hint="default" w:ascii="Times New Roman" w:hAnsi="Times New Roman" w:eastAsia="方正仿宋_GBK" w:cs="Times New Roman"/>
          <w:bCs/>
          <w:sz w:val="32"/>
          <w:szCs w:val="32"/>
        </w:rPr>
        <w:t>中小企业声明函（工程、服务）</w:t>
      </w:r>
      <w:r>
        <w:rPr>
          <w:rFonts w:hint="eastAsia" w:eastAsia="方正仿宋_GBK" w:cs="Times New Roman"/>
          <w:bCs/>
          <w:sz w:val="32"/>
          <w:szCs w:val="32"/>
          <w:lang w:val="en-US" w:eastAsia="zh-CN"/>
        </w:rPr>
        <w:t>样式</w:t>
      </w:r>
      <w:r>
        <w:rPr>
          <w:rFonts w:hint="default" w:ascii="Times New Roman" w:hAnsi="Times New Roman" w:eastAsia="方正仿宋_GBK" w:cs="Times New Roman"/>
          <w:bCs w:val="0"/>
          <w:caps w:val="0"/>
          <w:sz w:val="32"/>
          <w:szCs w:val="32"/>
        </w:rPr>
        <w:fldChar w:fldCharType="end"/>
      </w:r>
    </w:p>
    <w:p w14:paraId="5C928CA4">
      <w:pPr>
        <w:pStyle w:val="28"/>
        <w:tabs>
          <w:tab w:val="right" w:leader="dot" w:pos="10467"/>
        </w:tabs>
        <w:spacing w:before="0" w:line="288" w:lineRule="auto"/>
        <w:rPr>
          <w:rFonts w:hint="eastAsia" w:ascii="仿宋" w:hAnsi="仿宋" w:eastAsia="仿宋" w:cs="仿宋"/>
          <w:sz w:val="24"/>
          <w:szCs w:val="24"/>
        </w:rPr>
        <w:sectPr>
          <w:headerReference r:id="rId8" w:type="first"/>
          <w:footerReference r:id="rId10" w:type="first"/>
          <w:footerReference r:id="rId9" w:type="default"/>
          <w:pgSz w:w="11906" w:h="16838"/>
          <w:pgMar w:top="1134" w:right="1134" w:bottom="1134" w:left="1134" w:header="1020" w:footer="567" w:gutter="0"/>
          <w:pgNumType w:start="1"/>
          <w:cols w:space="720" w:num="1"/>
          <w:titlePg/>
          <w:docGrid w:linePitch="312" w:charSpace="0"/>
        </w:sectPr>
      </w:pPr>
      <w:r>
        <w:rPr>
          <w:rFonts w:hint="eastAsia" w:ascii="仿宋" w:hAnsi="仿宋" w:eastAsia="仿宋" w:cs="仿宋"/>
          <w:bCs w:val="0"/>
          <w:caps w:val="0"/>
          <w:sz w:val="28"/>
          <w:szCs w:val="28"/>
        </w:rPr>
        <w:fldChar w:fldCharType="end"/>
      </w:r>
    </w:p>
    <w:p w14:paraId="0E8DC4A8">
      <w:pPr>
        <w:pStyle w:val="21"/>
      </w:pPr>
    </w:p>
    <w:p w14:paraId="7E714A20">
      <w:pPr>
        <w:pStyle w:val="21"/>
        <w:keepNext w:val="0"/>
        <w:keepLines w:val="0"/>
        <w:pageBreakBefore w:val="0"/>
        <w:widowControl w:val="0"/>
        <w:kinsoku/>
        <w:wordWrap/>
        <w:overflowPunct/>
        <w:topLinePunct w:val="0"/>
        <w:autoSpaceDE/>
        <w:autoSpaceDN/>
        <w:bidi w:val="0"/>
        <w:adjustRightInd/>
        <w:snapToGrid/>
        <w:spacing w:line="720" w:lineRule="exact"/>
        <w:ind w:left="0" w:leftChars="0" w:right="0" w:firstLine="0" w:firstLineChars="0"/>
        <w:jc w:val="center"/>
        <w:textAlignment w:val="auto"/>
        <w:outlineLvl w:val="0"/>
        <w:rPr>
          <w:rFonts w:hint="eastAsia" w:ascii="方正黑体_GBK" w:hAnsi="方正黑体_GBK" w:eastAsia="方正黑体_GBK" w:cs="方正黑体_GBK"/>
          <w:b w:val="0"/>
          <w:bCs/>
          <w:sz w:val="32"/>
          <w:szCs w:val="32"/>
        </w:rPr>
      </w:pPr>
      <w:bookmarkStart w:id="0" w:name="_Toc17675"/>
      <w:bookmarkStart w:id="1" w:name="_Toc7211"/>
      <w:r>
        <w:rPr>
          <w:rFonts w:hint="eastAsia" w:ascii="方正小标宋_GBK" w:hAnsi="方正小标宋_GBK" w:eastAsia="方正小标宋_GBK" w:cs="方正小标宋_GBK"/>
          <w:b w:val="0"/>
          <w:bCs/>
          <w:sz w:val="44"/>
          <w:szCs w:val="44"/>
        </w:rPr>
        <w:t>第一章  邀请书</w:t>
      </w:r>
      <w:bookmarkEnd w:id="0"/>
      <w:bookmarkEnd w:id="1"/>
    </w:p>
    <w:p w14:paraId="4586DE67">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曲靖市</w:t>
      </w:r>
      <w:r>
        <w:rPr>
          <w:rFonts w:hint="default" w:ascii="Times New Roman" w:hAnsi="Times New Roman" w:eastAsia="方正仿宋_GBK" w:cs="Times New Roman"/>
          <w:b w:val="0"/>
          <w:bCs/>
          <w:sz w:val="32"/>
          <w:szCs w:val="32"/>
          <w:lang w:eastAsia="zh-CN"/>
        </w:rPr>
        <w:t>财政局</w:t>
      </w:r>
      <w:r>
        <w:rPr>
          <w:rFonts w:hint="default" w:ascii="Times New Roman" w:hAnsi="Times New Roman" w:eastAsia="方正仿宋_GBK" w:cs="Times New Roman"/>
          <w:b w:val="0"/>
          <w:bCs/>
          <w:sz w:val="32"/>
          <w:szCs w:val="32"/>
        </w:rPr>
        <w:t>根据公布的本年度政府采购目录，对</w:t>
      </w:r>
      <w:r>
        <w:rPr>
          <w:rFonts w:hint="default" w:ascii="Times New Roman" w:hAnsi="Times New Roman" w:eastAsia="方正仿宋_GBK" w:cs="Times New Roman"/>
          <w:b w:val="0"/>
          <w:bCs/>
          <w:sz w:val="32"/>
          <w:szCs w:val="32"/>
          <w:lang w:val="en-US" w:eastAsia="zh-CN"/>
        </w:rPr>
        <w:t>曲靖政府采购电子交易系统项目</w:t>
      </w:r>
      <w:r>
        <w:rPr>
          <w:rFonts w:hint="default" w:ascii="Times New Roman" w:hAnsi="Times New Roman" w:eastAsia="方正仿宋_GBK" w:cs="Times New Roman"/>
          <w:b w:val="0"/>
          <w:bCs/>
          <w:sz w:val="32"/>
          <w:szCs w:val="32"/>
        </w:rPr>
        <w:t>进行竞争性采购，欢迎你公司参加。</w:t>
      </w:r>
    </w:p>
    <w:p w14:paraId="3141D422">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sz w:val="32"/>
          <w:szCs w:val="32"/>
        </w:rPr>
        <w:t xml:space="preserve">采购编号： </w:t>
      </w:r>
      <w:r>
        <w:rPr>
          <w:rFonts w:hint="eastAsia" w:ascii="仿宋" w:hAnsi="仿宋" w:eastAsia="仿宋" w:cs="仿宋"/>
          <w:sz w:val="32"/>
          <w:szCs w:val="32"/>
        </w:rPr>
        <w:t>QJ</w:t>
      </w:r>
      <w:r>
        <w:rPr>
          <w:rFonts w:hint="eastAsia" w:ascii="仿宋" w:hAnsi="仿宋" w:eastAsia="仿宋" w:cs="仿宋"/>
          <w:sz w:val="32"/>
          <w:szCs w:val="32"/>
          <w:lang w:val="en-US" w:eastAsia="zh-CN"/>
        </w:rPr>
        <w:t>CZ</w:t>
      </w:r>
      <w:r>
        <w:rPr>
          <w:rFonts w:hint="eastAsia" w:ascii="仿宋" w:hAnsi="仿宋" w:eastAsia="仿宋" w:cs="仿宋"/>
          <w:sz w:val="32"/>
          <w:szCs w:val="32"/>
        </w:rPr>
        <w:t>-</w:t>
      </w:r>
      <w:r>
        <w:rPr>
          <w:rFonts w:hint="eastAsia" w:ascii="仿宋" w:hAnsi="仿宋" w:eastAsia="仿宋" w:cs="仿宋"/>
          <w:sz w:val="32"/>
          <w:szCs w:val="32"/>
          <w:lang w:val="en-US" w:eastAsia="zh-CN"/>
        </w:rPr>
        <w:t>JZX</w:t>
      </w:r>
      <w:r>
        <w:rPr>
          <w:rFonts w:hint="eastAsia" w:ascii="仿宋" w:hAnsi="仿宋" w:eastAsia="仿宋" w:cs="仿宋"/>
          <w:sz w:val="32"/>
          <w:szCs w:val="32"/>
        </w:rPr>
        <w:t>CS20</w:t>
      </w:r>
      <w:r>
        <w:rPr>
          <w:rFonts w:hint="default" w:ascii="仿宋" w:hAnsi="仿宋" w:eastAsia="仿宋" w:cs="仿宋"/>
          <w:sz w:val="32"/>
          <w:szCs w:val="32"/>
          <w:lang w:val="en" w:eastAsia="zh-CN"/>
        </w:rPr>
        <w:t>2301</w:t>
      </w:r>
      <w:r>
        <w:rPr>
          <w:rFonts w:hint="default" w:ascii="Times New Roman" w:hAnsi="Times New Roman" w:eastAsia="方正仿宋_GBK" w:cs="Times New Roman"/>
          <w:b w:val="0"/>
          <w:bCs/>
          <w:sz w:val="32"/>
          <w:szCs w:val="32"/>
        </w:rPr>
        <w:t xml:space="preserve">                                                                                                                                                                                                                                                                                                                                                                                                                                                                                                                                                                                                                                                                                                                                                                                                                                                                                                                                                                                                                                                   </w:t>
      </w:r>
    </w:p>
    <w:p w14:paraId="36A876E8">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sz w:val="32"/>
          <w:szCs w:val="32"/>
        </w:rPr>
        <w:t>采购项目名称：</w:t>
      </w:r>
      <w:r>
        <w:rPr>
          <w:rFonts w:hint="default" w:ascii="Times New Roman" w:hAnsi="Times New Roman" w:eastAsia="方正仿宋_GBK" w:cs="Times New Roman"/>
          <w:b w:val="0"/>
          <w:bCs/>
          <w:sz w:val="32"/>
          <w:szCs w:val="32"/>
          <w:lang w:val="en-US" w:eastAsia="zh-CN"/>
        </w:rPr>
        <w:t>曲靖政府采购电子交易系统项目</w:t>
      </w:r>
    </w:p>
    <w:p w14:paraId="7238C65E">
      <w:pPr>
        <w:pStyle w:val="21"/>
        <w:keepNext w:val="0"/>
        <w:keepLines w:val="0"/>
        <w:pageBreakBefore w:val="0"/>
        <w:widowControl w:val="0"/>
        <w:numPr>
          <w:ilvl w:val="0"/>
          <w:numId w:val="0"/>
        </w:numPr>
        <w:tabs>
          <w:tab w:val="left" w:pos="1261"/>
          <w:tab w:val="center" w:pos="4995"/>
        </w:tabs>
        <w:kinsoku/>
        <w:wordWrap/>
        <w:overflowPunct/>
        <w:topLinePunct w:val="0"/>
        <w:autoSpaceDE/>
        <w:autoSpaceDN/>
        <w:bidi w:val="0"/>
        <w:adjustRightInd/>
        <w:snapToGrid/>
        <w:spacing w:line="720" w:lineRule="exact"/>
        <w:ind w:leftChars="0"/>
        <w:jc w:val="center"/>
        <w:textAlignment w:val="auto"/>
        <w:outlineLvl w:val="0"/>
        <w:rPr>
          <w:rFonts w:hint="eastAsia"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3</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sz w:val="32"/>
          <w:szCs w:val="32"/>
        </w:rPr>
        <w:t>项目具体要求：见</w:t>
      </w:r>
      <w:r>
        <w:rPr>
          <w:rFonts w:hint="eastAsia" w:ascii="Times New Roman" w:hAnsi="Times New Roman" w:eastAsia="方正仿宋_GBK" w:cs="Times New Roman"/>
          <w:b w:val="0"/>
          <w:bCs/>
          <w:sz w:val="32"/>
          <w:szCs w:val="32"/>
          <w:lang w:eastAsia="zh-CN"/>
        </w:rPr>
        <w:t>“</w:t>
      </w:r>
      <w:r>
        <w:rPr>
          <w:rFonts w:hint="eastAsia" w:ascii="方正小标宋_GBK" w:hAnsi="方正小标宋_GBK" w:eastAsia="方正小标宋_GBK" w:cs="方正小标宋_GBK"/>
          <w:b w:val="0"/>
          <w:bCs/>
          <w:sz w:val="32"/>
          <w:szCs w:val="32"/>
          <w:lang w:val="en-US" w:eastAsia="zh-CN"/>
        </w:rPr>
        <w:t>曲靖政府采购电子交易系统项目需求</w:t>
      </w:r>
      <w:r>
        <w:rPr>
          <w:rFonts w:hint="eastAsia" w:ascii="Times New Roman" w:hAnsi="Times New Roman" w:eastAsia="方正仿宋_GBK" w:cs="Times New Roman"/>
          <w:b w:val="0"/>
          <w:bCs/>
          <w:sz w:val="32"/>
          <w:szCs w:val="32"/>
          <w:lang w:eastAsia="zh-CN"/>
        </w:rPr>
        <w:t>”</w:t>
      </w:r>
    </w:p>
    <w:p w14:paraId="2B3E4104">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4</w:t>
      </w:r>
      <w:r>
        <w:rPr>
          <w:rFonts w:hint="default"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rPr>
        <w:t xml:space="preserve">文件领取方式及时间：见公告 </w:t>
      </w:r>
    </w:p>
    <w:p w14:paraId="6EB5E05B">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rPr>
        <w:t>5</w:t>
      </w:r>
      <w:r>
        <w:rPr>
          <w:rFonts w:hint="default"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rPr>
        <w:t>响应文件递交截止时间：20</w:t>
      </w:r>
      <w:r>
        <w:rPr>
          <w:rFonts w:hint="default" w:ascii="Times New Roman" w:hAnsi="Times New Roman" w:eastAsia="方正仿宋_GBK" w:cs="Times New Roman"/>
          <w:b w:val="0"/>
          <w:bCs/>
          <w:color w:val="auto"/>
          <w:sz w:val="32"/>
          <w:szCs w:val="32"/>
          <w:lang w:val="en-US" w:eastAsia="zh-CN"/>
        </w:rPr>
        <w:t>23</w:t>
      </w:r>
      <w:r>
        <w:rPr>
          <w:rFonts w:hint="default" w:ascii="Times New Roman" w:hAnsi="Times New Roman" w:eastAsia="方正仿宋_GBK" w:cs="Times New Roman"/>
          <w:b w:val="0"/>
          <w:bCs/>
          <w:color w:val="auto"/>
          <w:sz w:val="32"/>
          <w:szCs w:val="32"/>
        </w:rPr>
        <w:t>年</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rPr>
        <w:t>月</w:t>
      </w:r>
      <w:r>
        <w:rPr>
          <w:rFonts w:hint="default" w:ascii="Times New Roman" w:hAnsi="Times New Roman" w:eastAsia="方正仿宋_GBK" w:cs="Times New Roman"/>
          <w:b w:val="0"/>
          <w:bCs/>
          <w:color w:val="auto"/>
          <w:sz w:val="32"/>
          <w:szCs w:val="32"/>
          <w:lang w:val="en-US" w:eastAsia="zh-CN"/>
        </w:rPr>
        <w:t>27</w:t>
      </w:r>
      <w:r>
        <w:rPr>
          <w:rFonts w:hint="default" w:ascii="Times New Roman" w:hAnsi="Times New Roman" w:eastAsia="方正仿宋_GBK" w:cs="Times New Roman"/>
          <w:b w:val="0"/>
          <w:bCs/>
          <w:color w:val="auto"/>
          <w:sz w:val="32"/>
          <w:szCs w:val="32"/>
        </w:rPr>
        <w:t>日</w:t>
      </w:r>
      <w:r>
        <w:rPr>
          <w:rFonts w:hint="default" w:ascii="Times New Roman" w:hAnsi="Times New Roman" w:eastAsia="方正仿宋_GBK" w:cs="Times New Roman"/>
          <w:b w:val="0"/>
          <w:bCs/>
          <w:color w:val="auto"/>
          <w:sz w:val="32"/>
          <w:szCs w:val="32"/>
          <w:lang w:val="en-US" w:eastAsia="zh-CN"/>
        </w:rPr>
        <w:t>15</w:t>
      </w:r>
      <w:r>
        <w:rPr>
          <w:rFonts w:hint="default" w:ascii="Times New Roman" w:hAnsi="Times New Roman" w:eastAsia="方正仿宋_GBK" w:cs="Times New Roman"/>
          <w:b w:val="0"/>
          <w:bCs/>
          <w:color w:val="auto"/>
          <w:sz w:val="32"/>
          <w:szCs w:val="32"/>
        </w:rPr>
        <w:t>:</w:t>
      </w:r>
      <w:r>
        <w:rPr>
          <w:rFonts w:hint="default" w:ascii="Times New Roman" w:hAnsi="Times New Roman" w:eastAsia="方正仿宋_GBK" w:cs="Times New Roman"/>
          <w:b w:val="0"/>
          <w:bCs/>
          <w:color w:val="auto"/>
          <w:sz w:val="32"/>
          <w:szCs w:val="32"/>
          <w:lang w:val="en-US" w:eastAsia="zh-CN"/>
        </w:rPr>
        <w:t>00</w:t>
      </w:r>
      <w:r>
        <w:rPr>
          <w:rFonts w:hint="default" w:ascii="Times New Roman" w:hAnsi="Times New Roman" w:eastAsia="方正仿宋_GBK" w:cs="Times New Roman"/>
          <w:b w:val="0"/>
          <w:bCs/>
          <w:color w:val="auto"/>
          <w:sz w:val="32"/>
          <w:szCs w:val="32"/>
        </w:rPr>
        <w:t>（北京时间）</w:t>
      </w:r>
    </w:p>
    <w:p w14:paraId="32D3CFBD">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auto"/>
          <w:sz w:val="32"/>
          <w:szCs w:val="32"/>
        </w:rPr>
      </w:pPr>
      <w:bookmarkStart w:id="2" w:name="_Toc22310"/>
      <w:bookmarkStart w:id="3" w:name="_Toc14771"/>
      <w:r>
        <w:rPr>
          <w:rFonts w:hint="default" w:ascii="Times New Roman" w:hAnsi="Times New Roman" w:eastAsia="方正仿宋_GBK" w:cs="Times New Roman"/>
          <w:b w:val="0"/>
          <w:bCs/>
          <w:color w:val="auto"/>
          <w:sz w:val="32"/>
          <w:szCs w:val="32"/>
        </w:rPr>
        <w:t>开始时间：20</w:t>
      </w:r>
      <w:r>
        <w:rPr>
          <w:rFonts w:hint="default" w:ascii="Times New Roman" w:hAnsi="Times New Roman" w:eastAsia="方正仿宋_GBK" w:cs="Times New Roman"/>
          <w:b w:val="0"/>
          <w:bCs/>
          <w:color w:val="auto"/>
          <w:sz w:val="32"/>
          <w:szCs w:val="32"/>
          <w:lang w:val="en-US" w:eastAsia="zh-CN"/>
        </w:rPr>
        <w:t>23</w:t>
      </w:r>
      <w:r>
        <w:rPr>
          <w:rFonts w:hint="default" w:ascii="Times New Roman" w:hAnsi="Times New Roman" w:eastAsia="方正仿宋_GBK" w:cs="Times New Roman"/>
          <w:b w:val="0"/>
          <w:bCs/>
          <w:color w:val="auto"/>
          <w:sz w:val="32"/>
          <w:szCs w:val="32"/>
        </w:rPr>
        <w:t>年</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rPr>
        <w:t>月</w:t>
      </w:r>
      <w:r>
        <w:rPr>
          <w:rFonts w:hint="default" w:ascii="Times New Roman" w:hAnsi="Times New Roman" w:eastAsia="方正仿宋_GBK" w:cs="Times New Roman"/>
          <w:b w:val="0"/>
          <w:bCs/>
          <w:color w:val="auto"/>
          <w:sz w:val="32"/>
          <w:szCs w:val="32"/>
          <w:lang w:val="en-US" w:eastAsia="zh-CN"/>
        </w:rPr>
        <w:t>27</w:t>
      </w:r>
      <w:r>
        <w:rPr>
          <w:rFonts w:hint="default" w:ascii="Times New Roman" w:hAnsi="Times New Roman" w:eastAsia="方正仿宋_GBK" w:cs="Times New Roman"/>
          <w:b w:val="0"/>
          <w:bCs/>
          <w:color w:val="auto"/>
          <w:sz w:val="32"/>
          <w:szCs w:val="32"/>
        </w:rPr>
        <w:t>日</w:t>
      </w:r>
      <w:r>
        <w:rPr>
          <w:rFonts w:hint="default" w:ascii="Times New Roman" w:hAnsi="Times New Roman" w:eastAsia="方正仿宋_GBK" w:cs="Times New Roman"/>
          <w:b w:val="0"/>
          <w:bCs/>
          <w:color w:val="auto"/>
          <w:sz w:val="32"/>
          <w:szCs w:val="32"/>
          <w:lang w:val="en-US" w:eastAsia="zh-CN"/>
        </w:rPr>
        <w:t>15</w:t>
      </w:r>
      <w:r>
        <w:rPr>
          <w:rFonts w:hint="default" w:ascii="Times New Roman" w:hAnsi="Times New Roman" w:eastAsia="方正仿宋_GBK" w:cs="Times New Roman"/>
          <w:b w:val="0"/>
          <w:bCs/>
          <w:color w:val="auto"/>
          <w:sz w:val="32"/>
          <w:szCs w:val="32"/>
        </w:rPr>
        <w:t>:00（北京时间）</w:t>
      </w:r>
      <w:bookmarkEnd w:id="2"/>
      <w:bookmarkEnd w:id="3"/>
    </w:p>
    <w:p w14:paraId="31F8172E">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lang w:eastAsia="zh-CN"/>
        </w:rPr>
      </w:pPr>
      <w:bookmarkStart w:id="4" w:name="_Toc20861"/>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rPr>
        <w:t>开标地点：</w:t>
      </w:r>
      <w:r>
        <w:rPr>
          <w:rFonts w:hint="default" w:ascii="Times New Roman" w:hAnsi="Times New Roman" w:eastAsia="方正仿宋_GBK" w:cs="Times New Roman"/>
          <w:b w:val="0"/>
          <w:bCs/>
          <w:sz w:val="32"/>
          <w:szCs w:val="32"/>
          <w:lang w:eastAsia="zh-CN"/>
        </w:rPr>
        <w:t>曲靖市财政局</w:t>
      </w:r>
      <w:bookmarkEnd w:id="4"/>
    </w:p>
    <w:p w14:paraId="01A62074">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rPr>
        <w:t xml:space="preserve">电话：  </w:t>
      </w:r>
    </w:p>
    <w:p w14:paraId="2CF3EA69">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Times New Roman"/>
          <w:b w:val="0"/>
          <w:bCs/>
          <w:color w:val="auto"/>
          <w:sz w:val="32"/>
          <w:szCs w:val="32"/>
        </w:rPr>
        <w:t>采购人联系人:</w:t>
      </w:r>
      <w:r>
        <w:rPr>
          <w:rFonts w:hint="default" w:ascii="Times New Roman" w:hAnsi="Times New Roman" w:eastAsia="方正仿宋_GBK" w:cs="Times New Roman"/>
          <w:b w:val="0"/>
          <w:bCs/>
          <w:color w:val="auto"/>
          <w:sz w:val="32"/>
          <w:szCs w:val="32"/>
          <w:lang w:eastAsia="zh-CN"/>
        </w:rPr>
        <w:t>何</w:t>
      </w:r>
      <w:r>
        <w:rPr>
          <w:rFonts w:hint="default" w:ascii="Times New Roman" w:hAnsi="Times New Roman" w:eastAsia="方正仿宋_GBK" w:cs="Times New Roman"/>
          <w:b w:val="0"/>
          <w:bCs/>
          <w:color w:val="auto"/>
          <w:sz w:val="32"/>
          <w:szCs w:val="32"/>
          <w:highlight w:val="none"/>
          <w:lang w:val="en-US" w:eastAsia="zh-CN"/>
        </w:rPr>
        <w:t>老师</w:t>
      </w:r>
      <w:r>
        <w:rPr>
          <w:rFonts w:hint="default" w:ascii="Times New Roman" w:hAnsi="Times New Roman" w:eastAsia="方正仿宋_GBK" w:cs="Times New Roman"/>
          <w:b w:val="0"/>
          <w:bCs/>
          <w:color w:val="auto"/>
          <w:sz w:val="32"/>
          <w:szCs w:val="32"/>
          <w:highlight w:val="none"/>
        </w:rPr>
        <w:t xml:space="preserve">    联系电话：0874-</w:t>
      </w:r>
      <w:r>
        <w:rPr>
          <w:rFonts w:hint="default" w:ascii="Times New Roman" w:hAnsi="Times New Roman" w:eastAsia="方正仿宋_GBK" w:cs="Times New Roman"/>
          <w:b w:val="0"/>
          <w:bCs/>
          <w:color w:val="auto"/>
          <w:sz w:val="32"/>
          <w:szCs w:val="32"/>
          <w:highlight w:val="none"/>
          <w:lang w:val="en-US" w:eastAsia="zh-CN"/>
        </w:rPr>
        <w:t>3116393</w:t>
      </w:r>
    </w:p>
    <w:p w14:paraId="7D7B4DBA">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项目联系人：高老师     联系电话：0874—3136489</w:t>
      </w:r>
    </w:p>
    <w:p w14:paraId="04DB4E66">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rPr>
      </w:pPr>
    </w:p>
    <w:p w14:paraId="7704B47B">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w:t>
      </w:r>
    </w:p>
    <w:p w14:paraId="6361C142">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eastAsia"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 xml:space="preserve"> </w:t>
      </w:r>
      <w:r>
        <w:rPr>
          <w:rFonts w:hint="eastAsia"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xml:space="preserve"> </w:t>
      </w:r>
      <w:r>
        <w:rPr>
          <w:rFonts w:hint="eastAsia" w:ascii="Times New Roman" w:hAnsi="Times New Roman" w:eastAsia="方正仿宋_GBK" w:cs="Times New Roman"/>
          <w:b w:val="0"/>
          <w:bCs/>
          <w:sz w:val="32"/>
          <w:szCs w:val="32"/>
          <w:lang w:eastAsia="zh-CN"/>
        </w:rPr>
        <w:t>曲靖市财政局</w:t>
      </w:r>
    </w:p>
    <w:p w14:paraId="206F2F94">
      <w:pPr>
        <w:pStyle w:val="21"/>
        <w:keepNext w:val="0"/>
        <w:keepLines w:val="0"/>
        <w:pageBreakBefore w:val="0"/>
        <w:widowControl w:val="0"/>
        <w:kinsoku/>
        <w:wordWrap/>
        <w:overflowPunct/>
        <w:topLinePunct w:val="0"/>
        <w:autoSpaceDE/>
        <w:autoSpaceDN/>
        <w:bidi w:val="0"/>
        <w:adjustRightInd/>
        <w:snapToGrid/>
        <w:spacing w:line="600" w:lineRule="exact"/>
        <w:ind w:left="0" w:leftChars="0" w:right="0" w:firstLine="5760" w:firstLineChars="1800"/>
        <w:jc w:val="both"/>
        <w:textAlignment w:val="auto"/>
        <w:rPr>
          <w:rFonts w:hint="default" w:ascii="Times New Roman" w:hAnsi="Times New Roman" w:eastAsia="方正仿宋_GBK" w:cs="Times New Roman"/>
          <w:b w:val="0"/>
          <w:bCs/>
          <w:color w:val="auto"/>
          <w:sz w:val="32"/>
          <w:szCs w:val="32"/>
        </w:rPr>
      </w:pPr>
      <w:bookmarkStart w:id="5" w:name="_Toc13449"/>
      <w:bookmarkStart w:id="6" w:name="_Toc23122"/>
      <w:bookmarkStart w:id="7" w:name="_Toc23808"/>
      <w:r>
        <w:rPr>
          <w:rFonts w:hint="default" w:ascii="Times New Roman" w:hAnsi="Times New Roman" w:eastAsia="方正仿宋_GBK" w:cs="Times New Roman"/>
          <w:b w:val="0"/>
          <w:bCs/>
          <w:color w:val="auto"/>
          <w:sz w:val="32"/>
          <w:szCs w:val="32"/>
        </w:rPr>
        <w:t>20</w:t>
      </w:r>
      <w:r>
        <w:rPr>
          <w:rFonts w:hint="default" w:ascii="Times New Roman" w:hAnsi="Times New Roman" w:eastAsia="方正仿宋_GBK" w:cs="Times New Roman"/>
          <w:b w:val="0"/>
          <w:bCs/>
          <w:color w:val="auto"/>
          <w:sz w:val="32"/>
          <w:szCs w:val="32"/>
          <w:lang w:val="en-US" w:eastAsia="zh-CN"/>
        </w:rPr>
        <w:t>23</w:t>
      </w:r>
      <w:r>
        <w:rPr>
          <w:rFonts w:hint="default" w:ascii="Times New Roman" w:hAnsi="Times New Roman" w:eastAsia="方正仿宋_GBK" w:cs="Times New Roman"/>
          <w:b w:val="0"/>
          <w:bCs/>
          <w:color w:val="auto"/>
          <w:sz w:val="32"/>
          <w:szCs w:val="32"/>
        </w:rPr>
        <w:t>年</w:t>
      </w:r>
      <w:r>
        <w:rPr>
          <w:rFonts w:hint="default" w:ascii="Times New Roman" w:hAnsi="Times New Roman" w:eastAsia="方正仿宋_GBK" w:cs="Times New Roman"/>
          <w:b w:val="0"/>
          <w:bCs/>
          <w:color w:val="auto"/>
          <w:sz w:val="32"/>
          <w:szCs w:val="32"/>
          <w:lang w:val="en-US" w:eastAsia="zh-CN"/>
        </w:rPr>
        <w:t>3</w:t>
      </w:r>
      <w:r>
        <w:rPr>
          <w:rFonts w:hint="default" w:ascii="Times New Roman" w:hAnsi="Times New Roman" w:eastAsia="方正仿宋_GBK" w:cs="Times New Roman"/>
          <w:b w:val="0"/>
          <w:bCs/>
          <w:color w:val="auto"/>
          <w:sz w:val="32"/>
          <w:szCs w:val="32"/>
        </w:rPr>
        <w:t>月</w:t>
      </w:r>
      <w:r>
        <w:rPr>
          <w:rFonts w:hint="default" w:ascii="Times New Roman" w:hAnsi="Times New Roman" w:eastAsia="方正仿宋_GBK" w:cs="Times New Roman"/>
          <w:b w:val="0"/>
          <w:bCs/>
          <w:color w:val="auto"/>
          <w:sz w:val="32"/>
          <w:szCs w:val="32"/>
          <w:lang w:val="en-US" w:eastAsia="zh-CN"/>
        </w:rPr>
        <w:t>13</w:t>
      </w:r>
      <w:r>
        <w:rPr>
          <w:rFonts w:hint="default" w:ascii="Times New Roman" w:hAnsi="Times New Roman" w:eastAsia="方正仿宋_GBK" w:cs="Times New Roman"/>
          <w:b w:val="0"/>
          <w:bCs/>
          <w:color w:val="auto"/>
          <w:sz w:val="32"/>
          <w:szCs w:val="32"/>
        </w:rPr>
        <w:t>日</w:t>
      </w:r>
      <w:bookmarkEnd w:id="5"/>
      <w:bookmarkEnd w:id="6"/>
      <w:bookmarkEnd w:id="7"/>
    </w:p>
    <w:p w14:paraId="6DBB8677">
      <w:pPr>
        <w:pStyle w:val="21"/>
        <w:keepNext w:val="0"/>
        <w:keepLines w:val="0"/>
        <w:pageBreakBefore w:val="0"/>
        <w:widowControl w:val="0"/>
        <w:kinsoku/>
        <w:wordWrap/>
        <w:overflowPunct/>
        <w:topLinePunct w:val="0"/>
        <w:autoSpaceDE/>
        <w:autoSpaceDN/>
        <w:bidi w:val="0"/>
        <w:adjustRightInd/>
        <w:snapToGrid/>
        <w:spacing w:line="720" w:lineRule="exact"/>
        <w:ind w:left="0" w:leftChars="0" w:right="0" w:firstLine="0" w:firstLineChars="0"/>
        <w:jc w:val="center"/>
        <w:textAlignment w:val="auto"/>
        <w:outlineLvl w:val="0"/>
        <w:rPr>
          <w:rFonts w:hint="eastAsia" w:ascii="方正小标宋_GBK" w:hAnsi="方正小标宋_GBK" w:eastAsia="方正小标宋_GBK" w:cs="方正小标宋_GBK"/>
          <w:b w:val="0"/>
          <w:bCs/>
          <w:sz w:val="44"/>
          <w:szCs w:val="44"/>
        </w:rPr>
      </w:pPr>
      <w:r>
        <w:rPr>
          <w:rFonts w:hint="default" w:ascii="Times New Roman" w:hAnsi="Times New Roman" w:eastAsia="方正仿宋_GBK" w:cs="Times New Roman"/>
          <w:b w:val="0"/>
          <w:bCs/>
          <w:sz w:val="32"/>
          <w:szCs w:val="32"/>
        </w:rPr>
        <w:br w:type="page"/>
      </w:r>
      <w:bookmarkStart w:id="8" w:name="_Toc30831"/>
      <w:bookmarkStart w:id="9" w:name="_Toc16285"/>
      <w:r>
        <w:rPr>
          <w:rFonts w:hint="eastAsia" w:ascii="方正小标宋_GBK" w:hAnsi="方正小标宋_GBK" w:eastAsia="方正小标宋_GBK" w:cs="方正小标宋_GBK"/>
          <w:b w:val="0"/>
          <w:bCs/>
          <w:sz w:val="44"/>
          <w:szCs w:val="44"/>
        </w:rPr>
        <w:t>第二章  文件和项目要求</w:t>
      </w:r>
      <w:bookmarkEnd w:id="8"/>
      <w:bookmarkEnd w:id="9"/>
    </w:p>
    <w:p w14:paraId="6D705F01">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both"/>
        <w:textAlignment w:val="auto"/>
        <w:rPr>
          <w:rFonts w:hint="default" w:ascii="Times New Roman" w:hAnsi="Times New Roman" w:eastAsia="方正仿宋_GBK" w:cs="Times New Roman"/>
          <w:b w:val="0"/>
          <w:bCs/>
          <w:sz w:val="32"/>
          <w:szCs w:val="32"/>
        </w:rPr>
      </w:pPr>
      <w:bookmarkStart w:id="10" w:name="_Toc14411"/>
      <w:r>
        <w:rPr>
          <w:rFonts w:hint="eastAsia"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rPr>
        <w:t>采购人及采购预算</w:t>
      </w:r>
      <w:bookmarkEnd w:id="10"/>
    </w:p>
    <w:tbl>
      <w:tblPr>
        <w:tblStyle w:val="37"/>
        <w:tblW w:w="9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5181"/>
        <w:gridCol w:w="2830"/>
      </w:tblGrid>
      <w:tr w14:paraId="766EE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Align w:val="center"/>
          </w:tcPr>
          <w:p w14:paraId="3A497E9D">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rPr>
            </w:pPr>
            <w:bookmarkStart w:id="11" w:name="_Toc2509"/>
            <w:r>
              <w:rPr>
                <w:rFonts w:hint="default" w:ascii="Times New Roman" w:hAnsi="Times New Roman" w:eastAsia="方正仿宋_GBK" w:cs="Times New Roman"/>
                <w:b w:val="0"/>
                <w:bCs/>
                <w:sz w:val="32"/>
                <w:szCs w:val="32"/>
              </w:rPr>
              <w:t>项</w:t>
            </w:r>
            <w:bookmarkEnd w:id="11"/>
          </w:p>
        </w:tc>
        <w:tc>
          <w:tcPr>
            <w:tcW w:w="5181" w:type="dxa"/>
            <w:vAlign w:val="center"/>
          </w:tcPr>
          <w:p w14:paraId="4DC5572D">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rPr>
            </w:pPr>
            <w:bookmarkStart w:id="12" w:name="_Toc14956"/>
            <w:r>
              <w:rPr>
                <w:rFonts w:hint="default" w:ascii="Times New Roman" w:hAnsi="Times New Roman" w:eastAsia="方正仿宋_GBK" w:cs="Times New Roman"/>
                <w:b w:val="0"/>
                <w:bCs/>
                <w:sz w:val="32"/>
                <w:szCs w:val="32"/>
              </w:rPr>
              <w:t>采购人</w:t>
            </w:r>
            <w:bookmarkEnd w:id="12"/>
          </w:p>
        </w:tc>
        <w:tc>
          <w:tcPr>
            <w:tcW w:w="2830" w:type="dxa"/>
            <w:vAlign w:val="center"/>
          </w:tcPr>
          <w:p w14:paraId="1E1603FF">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rPr>
            </w:pPr>
            <w:bookmarkStart w:id="13" w:name="_Toc19628"/>
            <w:r>
              <w:rPr>
                <w:rFonts w:hint="default" w:ascii="Times New Roman" w:hAnsi="Times New Roman" w:eastAsia="方正仿宋_GBK" w:cs="Times New Roman"/>
                <w:b w:val="0"/>
                <w:bCs/>
                <w:sz w:val="32"/>
                <w:szCs w:val="32"/>
              </w:rPr>
              <w:t>采购预算</w:t>
            </w:r>
            <w:bookmarkEnd w:id="13"/>
            <w:r>
              <w:rPr>
                <w:rFonts w:hint="default" w:ascii="Times New Roman" w:hAnsi="Times New Roman" w:eastAsia="方正仿宋_GBK" w:cs="Times New Roman"/>
                <w:b w:val="0"/>
                <w:bCs/>
                <w:sz w:val="32"/>
                <w:szCs w:val="32"/>
              </w:rPr>
              <w:t>（元</w:t>
            </w:r>
            <w:r>
              <w:rPr>
                <w:rFonts w:hint="default" w:ascii="Times New Roman" w:hAnsi="Times New Roman" w:eastAsia="方正仿宋_GBK" w:cs="Times New Roman"/>
                <w:b w:val="0"/>
                <w:bCs/>
                <w:sz w:val="32"/>
                <w:szCs w:val="32"/>
                <w:lang w:val="en-US" w:eastAsia="zh-CN"/>
              </w:rPr>
              <w:t>/年</w:t>
            </w:r>
            <w:r>
              <w:rPr>
                <w:rFonts w:hint="default" w:ascii="Times New Roman" w:hAnsi="Times New Roman" w:eastAsia="方正仿宋_GBK" w:cs="Times New Roman"/>
                <w:b w:val="0"/>
                <w:bCs/>
                <w:sz w:val="32"/>
                <w:szCs w:val="32"/>
              </w:rPr>
              <w:t>）</w:t>
            </w:r>
          </w:p>
        </w:tc>
      </w:tr>
      <w:tr w14:paraId="32ED9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Align w:val="center"/>
          </w:tcPr>
          <w:p w14:paraId="468B9D15">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p>
        </w:tc>
        <w:tc>
          <w:tcPr>
            <w:tcW w:w="5181" w:type="dxa"/>
            <w:vAlign w:val="center"/>
          </w:tcPr>
          <w:p w14:paraId="184C6682">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eastAsia="zh-CN"/>
              </w:rPr>
              <w:t>曲靖市财政局</w:t>
            </w:r>
          </w:p>
        </w:tc>
        <w:tc>
          <w:tcPr>
            <w:tcW w:w="2830" w:type="dxa"/>
            <w:vAlign w:val="center"/>
          </w:tcPr>
          <w:p w14:paraId="59E9D686">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58000</w:t>
            </w:r>
          </w:p>
        </w:tc>
      </w:tr>
    </w:tbl>
    <w:p w14:paraId="2575F3B5">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both"/>
        <w:textAlignment w:val="auto"/>
        <w:rPr>
          <w:rFonts w:hint="default" w:ascii="Times New Roman" w:hAnsi="Times New Roman" w:eastAsia="方正仿宋_GBK" w:cs="Times New Roman"/>
          <w:b w:val="0"/>
          <w:bCs/>
          <w:sz w:val="32"/>
          <w:szCs w:val="32"/>
        </w:rPr>
      </w:pPr>
      <w:bookmarkStart w:id="14" w:name="_Toc2787"/>
      <w:bookmarkStart w:id="15" w:name="_Toc16234"/>
      <w:bookmarkStart w:id="16" w:name="_Toc18454"/>
      <w:r>
        <w:rPr>
          <w:rFonts w:hint="eastAsia"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参与的供应商资格要求：</w:t>
      </w:r>
      <w:bookmarkEnd w:id="14"/>
      <w:bookmarkEnd w:id="15"/>
    </w:p>
    <w:bookmarkEnd w:id="16"/>
    <w:p w14:paraId="62AE1877">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kern w:val="0"/>
          <w:sz w:val="32"/>
          <w:szCs w:val="32"/>
          <w:lang w:eastAsia="zh-CN"/>
        </w:rPr>
      </w:pPr>
      <w:r>
        <w:rPr>
          <w:rFonts w:hint="default" w:ascii="Times New Roman" w:hAnsi="Times New Roman" w:eastAsia="方正仿宋_GBK" w:cs="Times New Roman"/>
          <w:b w:val="0"/>
          <w:bCs/>
          <w:kern w:val="0"/>
          <w:sz w:val="32"/>
          <w:szCs w:val="32"/>
          <w:lang w:eastAsia="zh-CN"/>
        </w:rPr>
        <w:t>（1）参与的供应商必须具备《政府采购法》第二十二条规定的条件。</w:t>
      </w:r>
    </w:p>
    <w:p w14:paraId="4B94BF2B">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kern w:val="0"/>
          <w:sz w:val="32"/>
          <w:szCs w:val="32"/>
          <w:lang w:eastAsia="zh-CN"/>
        </w:rPr>
      </w:pPr>
      <w:r>
        <w:rPr>
          <w:rFonts w:hint="default" w:ascii="Times New Roman" w:hAnsi="Times New Roman" w:eastAsia="方正仿宋_GBK" w:cs="Times New Roman"/>
          <w:b w:val="0"/>
          <w:bCs/>
          <w:kern w:val="0"/>
          <w:sz w:val="32"/>
          <w:szCs w:val="32"/>
          <w:lang w:eastAsia="zh-CN"/>
        </w:rPr>
        <w:t>（2）本次采购不接受联合体投标。</w:t>
      </w:r>
    </w:p>
    <w:p w14:paraId="637A0901">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kern w:val="0"/>
          <w:sz w:val="32"/>
          <w:szCs w:val="32"/>
          <w:lang w:eastAsia="zh-CN"/>
        </w:rPr>
      </w:pPr>
      <w:r>
        <w:rPr>
          <w:rFonts w:hint="default" w:ascii="Times New Roman" w:hAnsi="Times New Roman" w:eastAsia="方正仿宋_GBK" w:cs="Times New Roman"/>
          <w:b w:val="0"/>
          <w:bCs/>
          <w:kern w:val="0"/>
          <w:sz w:val="32"/>
          <w:szCs w:val="32"/>
          <w:lang w:eastAsia="zh-CN"/>
        </w:rPr>
        <w:t>（3）报价必须对第四章所列服务进行完整报价。</w:t>
      </w:r>
    </w:p>
    <w:p w14:paraId="5DD07CB2">
      <w:pPr>
        <w:pStyle w:val="21"/>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rFonts w:hint="default" w:ascii="Times New Roman" w:hAnsi="Times New Roman" w:eastAsia="方正仿宋_GBK" w:cs="Times New Roman"/>
          <w:b w:val="0"/>
          <w:bCs/>
          <w:kern w:val="0"/>
          <w:sz w:val="32"/>
          <w:szCs w:val="32"/>
          <w:highlight w:val="none"/>
          <w:lang w:eastAsia="zh-CN"/>
        </w:rPr>
      </w:pPr>
      <w:r>
        <w:rPr>
          <w:rFonts w:hint="default" w:ascii="Times New Roman" w:hAnsi="Times New Roman" w:eastAsia="方正仿宋_GBK" w:cs="Times New Roman"/>
          <w:b w:val="0"/>
          <w:bCs/>
          <w:kern w:val="0"/>
          <w:sz w:val="32"/>
          <w:szCs w:val="32"/>
          <w:lang w:eastAsia="zh-CN"/>
        </w:rPr>
        <w:t>（</w:t>
      </w:r>
      <w:r>
        <w:rPr>
          <w:rFonts w:hint="default" w:ascii="Times New Roman" w:hAnsi="Times New Roman" w:eastAsia="方正仿宋_GBK" w:cs="Times New Roman"/>
          <w:b w:val="0"/>
          <w:bCs/>
          <w:kern w:val="0"/>
          <w:sz w:val="32"/>
          <w:szCs w:val="32"/>
          <w:lang w:val="en-US" w:eastAsia="zh-CN"/>
        </w:rPr>
        <w:t>4</w:t>
      </w:r>
      <w:r>
        <w:rPr>
          <w:rFonts w:hint="default" w:ascii="Times New Roman" w:hAnsi="Times New Roman" w:eastAsia="方正仿宋_GBK" w:cs="Times New Roman"/>
          <w:b w:val="0"/>
          <w:bCs/>
          <w:kern w:val="0"/>
          <w:sz w:val="32"/>
          <w:szCs w:val="32"/>
          <w:lang w:eastAsia="zh-CN"/>
        </w:rPr>
        <w:t>）</w:t>
      </w:r>
      <w:r>
        <w:rPr>
          <w:rFonts w:hint="default" w:ascii="Times New Roman" w:hAnsi="Times New Roman" w:eastAsia="方正仿宋_GBK" w:cs="Times New Roman"/>
          <w:b w:val="0"/>
          <w:bCs/>
          <w:kern w:val="0"/>
          <w:sz w:val="32"/>
          <w:szCs w:val="32"/>
          <w:highlight w:val="none"/>
          <w:lang w:eastAsia="zh-CN"/>
        </w:rPr>
        <w:t>服务期限</w:t>
      </w:r>
      <w:r>
        <w:rPr>
          <w:rFonts w:hint="default" w:ascii="Times New Roman" w:hAnsi="Times New Roman" w:eastAsia="方正仿宋_GBK" w:cs="Times New Roman"/>
          <w:b w:val="0"/>
          <w:bCs/>
          <w:kern w:val="0"/>
          <w:sz w:val="32"/>
          <w:szCs w:val="32"/>
          <w:highlight w:val="none"/>
          <w:lang w:val="en-US" w:eastAsia="zh-CN"/>
        </w:rPr>
        <w:t>三</w:t>
      </w:r>
      <w:r>
        <w:rPr>
          <w:rFonts w:hint="default" w:ascii="Times New Roman" w:hAnsi="Times New Roman" w:eastAsia="方正仿宋_GBK" w:cs="Times New Roman"/>
          <w:b w:val="0"/>
          <w:bCs/>
          <w:kern w:val="0"/>
          <w:sz w:val="32"/>
          <w:szCs w:val="32"/>
          <w:highlight w:val="none"/>
          <w:lang w:eastAsia="zh-CN"/>
        </w:rPr>
        <w:t>年。</w:t>
      </w:r>
      <w:r>
        <w:rPr>
          <w:rFonts w:hint="eastAsia" w:ascii="Times New Roman" w:hAnsi="Times New Roman" w:eastAsia="方正仿宋_GBK" w:cs="Times New Roman"/>
          <w:b w:val="0"/>
          <w:bCs/>
          <w:kern w:val="0"/>
          <w:sz w:val="32"/>
          <w:szCs w:val="32"/>
          <w:highlight w:val="none"/>
          <w:lang w:val="en-US" w:eastAsia="zh-CN"/>
        </w:rPr>
        <w:t>验收</w:t>
      </w:r>
      <w:r>
        <w:rPr>
          <w:rFonts w:hint="default" w:ascii="Times New Roman" w:hAnsi="Times New Roman" w:eastAsia="方正仿宋_GBK" w:cs="Times New Roman"/>
          <w:b w:val="0"/>
          <w:bCs/>
          <w:kern w:val="0"/>
          <w:sz w:val="32"/>
          <w:szCs w:val="32"/>
          <w:highlight w:val="none"/>
          <w:lang w:val="en-US" w:eastAsia="zh-CN"/>
        </w:rPr>
        <w:t>合格后续签下一年</w:t>
      </w:r>
      <w:r>
        <w:rPr>
          <w:rFonts w:hint="eastAsia" w:ascii="Times New Roman" w:hAnsi="Times New Roman" w:eastAsia="方正仿宋_GBK" w:cs="Times New Roman"/>
          <w:b w:val="0"/>
          <w:bCs/>
          <w:kern w:val="0"/>
          <w:sz w:val="32"/>
          <w:szCs w:val="32"/>
          <w:highlight w:val="none"/>
          <w:lang w:val="en-US" w:eastAsia="zh-CN"/>
        </w:rPr>
        <w:t>运维</w:t>
      </w:r>
      <w:r>
        <w:rPr>
          <w:rFonts w:hint="default" w:ascii="Times New Roman" w:hAnsi="Times New Roman" w:eastAsia="方正仿宋_GBK" w:cs="Times New Roman"/>
          <w:b w:val="0"/>
          <w:bCs/>
          <w:kern w:val="0"/>
          <w:sz w:val="32"/>
          <w:szCs w:val="32"/>
          <w:highlight w:val="none"/>
          <w:lang w:val="en-US" w:eastAsia="zh-CN"/>
        </w:rPr>
        <w:t>合同。</w:t>
      </w:r>
      <w:r>
        <w:rPr>
          <w:rFonts w:hint="default" w:ascii="Times New Roman" w:hAnsi="Times New Roman" w:eastAsia="方正仿宋_GBK" w:cs="Times New Roman"/>
          <w:b w:val="0"/>
          <w:bCs/>
          <w:kern w:val="0"/>
          <w:sz w:val="32"/>
          <w:szCs w:val="32"/>
          <w:highlight w:val="none"/>
          <w:lang w:eastAsia="zh-CN"/>
        </w:rPr>
        <w:t>合同为一年一签一确认。</w:t>
      </w:r>
    </w:p>
    <w:p w14:paraId="4860A6FB">
      <w:pPr>
        <w:rPr>
          <w:rFonts w:hint="default" w:ascii="Times New Roman" w:hAnsi="Times New Roman" w:eastAsia="方正仿宋_GBK" w:cs="Times New Roman"/>
          <w:b w:val="0"/>
          <w:bCs/>
          <w:kern w:val="0"/>
          <w:sz w:val="32"/>
          <w:szCs w:val="32"/>
          <w:highlight w:val="none"/>
          <w:lang w:eastAsia="zh-CN"/>
        </w:rPr>
      </w:pPr>
    </w:p>
    <w:p w14:paraId="718211AB">
      <w:pPr>
        <w:pStyle w:val="2"/>
        <w:rPr>
          <w:rFonts w:hint="default" w:ascii="Times New Roman" w:hAnsi="Times New Roman" w:eastAsia="方正仿宋_GBK" w:cs="Times New Roman"/>
          <w:b w:val="0"/>
          <w:bCs/>
          <w:kern w:val="0"/>
          <w:sz w:val="32"/>
          <w:szCs w:val="32"/>
          <w:highlight w:val="none"/>
          <w:lang w:eastAsia="zh-CN"/>
        </w:rPr>
      </w:pPr>
    </w:p>
    <w:p w14:paraId="1B7F5DD3">
      <w:pPr>
        <w:pStyle w:val="2"/>
        <w:rPr>
          <w:rFonts w:hint="default" w:ascii="Times New Roman" w:hAnsi="Times New Roman" w:eastAsia="方正仿宋_GBK" w:cs="Times New Roman"/>
          <w:b w:val="0"/>
          <w:bCs/>
          <w:kern w:val="0"/>
          <w:sz w:val="32"/>
          <w:szCs w:val="32"/>
          <w:highlight w:val="none"/>
          <w:lang w:eastAsia="zh-CN"/>
        </w:rPr>
      </w:pPr>
    </w:p>
    <w:p w14:paraId="5AE23295">
      <w:pPr>
        <w:pStyle w:val="2"/>
        <w:rPr>
          <w:rFonts w:hint="default" w:ascii="Times New Roman" w:hAnsi="Times New Roman" w:eastAsia="方正仿宋_GBK" w:cs="Times New Roman"/>
          <w:b w:val="0"/>
          <w:bCs/>
          <w:kern w:val="0"/>
          <w:sz w:val="32"/>
          <w:szCs w:val="32"/>
          <w:highlight w:val="none"/>
          <w:lang w:eastAsia="zh-CN"/>
        </w:rPr>
      </w:pPr>
    </w:p>
    <w:p w14:paraId="6133F9C0">
      <w:pPr>
        <w:pStyle w:val="2"/>
        <w:rPr>
          <w:rFonts w:hint="default" w:ascii="Times New Roman" w:hAnsi="Times New Roman" w:eastAsia="方正仿宋_GBK" w:cs="Times New Roman"/>
          <w:b w:val="0"/>
          <w:bCs/>
          <w:kern w:val="0"/>
          <w:sz w:val="32"/>
          <w:szCs w:val="32"/>
          <w:highlight w:val="none"/>
          <w:lang w:eastAsia="zh-CN"/>
        </w:rPr>
      </w:pPr>
    </w:p>
    <w:p w14:paraId="4DB30CA4">
      <w:pPr>
        <w:pStyle w:val="2"/>
        <w:rPr>
          <w:rFonts w:hint="default" w:ascii="Times New Roman" w:hAnsi="Times New Roman" w:eastAsia="方正仿宋_GBK" w:cs="Times New Roman"/>
          <w:b w:val="0"/>
          <w:bCs/>
          <w:kern w:val="0"/>
          <w:sz w:val="32"/>
          <w:szCs w:val="32"/>
          <w:highlight w:val="none"/>
          <w:lang w:eastAsia="zh-CN"/>
        </w:rPr>
      </w:pPr>
    </w:p>
    <w:p w14:paraId="45DE7892">
      <w:pPr>
        <w:pStyle w:val="2"/>
        <w:rPr>
          <w:rFonts w:hint="default" w:ascii="Times New Roman" w:hAnsi="Times New Roman" w:eastAsia="方正仿宋_GBK" w:cs="Times New Roman"/>
          <w:b w:val="0"/>
          <w:bCs/>
          <w:kern w:val="0"/>
          <w:sz w:val="32"/>
          <w:szCs w:val="32"/>
          <w:highlight w:val="none"/>
          <w:lang w:eastAsia="zh-CN"/>
        </w:rPr>
      </w:pPr>
    </w:p>
    <w:p w14:paraId="478D3C5B">
      <w:pPr>
        <w:pStyle w:val="2"/>
        <w:rPr>
          <w:rFonts w:hint="default" w:ascii="Times New Roman" w:hAnsi="Times New Roman" w:eastAsia="方正仿宋_GBK" w:cs="Times New Roman"/>
          <w:b w:val="0"/>
          <w:bCs/>
          <w:kern w:val="0"/>
          <w:sz w:val="32"/>
          <w:szCs w:val="32"/>
          <w:highlight w:val="none"/>
          <w:lang w:eastAsia="zh-CN"/>
        </w:rPr>
      </w:pPr>
    </w:p>
    <w:p w14:paraId="7133D15B">
      <w:pPr>
        <w:pStyle w:val="2"/>
        <w:rPr>
          <w:rFonts w:hint="default" w:ascii="Times New Roman" w:hAnsi="Times New Roman" w:eastAsia="方正仿宋_GBK" w:cs="Times New Roman"/>
          <w:b w:val="0"/>
          <w:bCs/>
          <w:kern w:val="0"/>
          <w:sz w:val="32"/>
          <w:szCs w:val="32"/>
          <w:highlight w:val="none"/>
          <w:lang w:eastAsia="zh-CN"/>
        </w:rPr>
      </w:pPr>
    </w:p>
    <w:p w14:paraId="7D67EBDA">
      <w:pPr>
        <w:pStyle w:val="2"/>
        <w:rPr>
          <w:rFonts w:hint="default" w:ascii="Times New Roman" w:hAnsi="Times New Roman" w:eastAsia="方正仿宋_GBK" w:cs="Times New Roman"/>
          <w:b w:val="0"/>
          <w:bCs/>
          <w:kern w:val="0"/>
          <w:sz w:val="32"/>
          <w:szCs w:val="32"/>
          <w:highlight w:val="none"/>
          <w:lang w:eastAsia="zh-CN"/>
        </w:rPr>
      </w:pPr>
    </w:p>
    <w:p w14:paraId="23208154">
      <w:pPr>
        <w:pStyle w:val="2"/>
        <w:rPr>
          <w:rFonts w:hint="default" w:ascii="Times New Roman" w:hAnsi="Times New Roman" w:eastAsia="方正仿宋_GBK" w:cs="Times New Roman"/>
          <w:b w:val="0"/>
          <w:bCs/>
          <w:kern w:val="0"/>
          <w:sz w:val="32"/>
          <w:szCs w:val="32"/>
          <w:highlight w:val="none"/>
          <w:lang w:eastAsia="zh-CN"/>
        </w:rPr>
      </w:pPr>
    </w:p>
    <w:p w14:paraId="32A8DD88">
      <w:pPr>
        <w:pStyle w:val="2"/>
        <w:rPr>
          <w:rFonts w:hint="default" w:ascii="Times New Roman" w:hAnsi="Times New Roman" w:eastAsia="方正仿宋_GBK" w:cs="Times New Roman"/>
          <w:b w:val="0"/>
          <w:bCs/>
          <w:kern w:val="0"/>
          <w:sz w:val="32"/>
          <w:szCs w:val="32"/>
          <w:highlight w:val="none"/>
          <w:lang w:eastAsia="zh-CN"/>
        </w:rPr>
      </w:pPr>
    </w:p>
    <w:p w14:paraId="70F186D5">
      <w:pPr>
        <w:pStyle w:val="2"/>
        <w:rPr>
          <w:rFonts w:hint="default" w:ascii="Times New Roman" w:hAnsi="Times New Roman" w:eastAsia="方正仿宋_GBK" w:cs="Times New Roman"/>
          <w:b w:val="0"/>
          <w:bCs/>
          <w:kern w:val="0"/>
          <w:sz w:val="32"/>
          <w:szCs w:val="32"/>
          <w:highlight w:val="none"/>
          <w:lang w:eastAsia="zh-CN"/>
        </w:rPr>
      </w:pPr>
    </w:p>
    <w:p w14:paraId="71DBB2A1">
      <w:pPr>
        <w:pStyle w:val="2"/>
        <w:rPr>
          <w:rFonts w:hint="default" w:ascii="Times New Roman" w:hAnsi="Times New Roman" w:eastAsia="方正仿宋_GBK" w:cs="Times New Roman"/>
          <w:b w:val="0"/>
          <w:bCs/>
          <w:kern w:val="0"/>
          <w:sz w:val="32"/>
          <w:szCs w:val="32"/>
          <w:highlight w:val="none"/>
          <w:lang w:eastAsia="zh-CN"/>
        </w:rPr>
      </w:pPr>
    </w:p>
    <w:p w14:paraId="1A26D33E">
      <w:pPr>
        <w:pStyle w:val="2"/>
        <w:rPr>
          <w:rFonts w:hint="default" w:ascii="Times New Roman" w:hAnsi="Times New Roman" w:eastAsia="方正仿宋_GBK" w:cs="Times New Roman"/>
          <w:b w:val="0"/>
          <w:bCs/>
          <w:kern w:val="0"/>
          <w:sz w:val="32"/>
          <w:szCs w:val="32"/>
          <w:highlight w:val="none"/>
          <w:lang w:eastAsia="zh-CN"/>
        </w:rPr>
      </w:pPr>
    </w:p>
    <w:p w14:paraId="59113FBC">
      <w:pPr>
        <w:pStyle w:val="2"/>
        <w:rPr>
          <w:rFonts w:hint="default" w:ascii="Times New Roman" w:hAnsi="Times New Roman" w:eastAsia="方正仿宋_GBK" w:cs="Times New Roman"/>
          <w:b w:val="0"/>
          <w:bCs/>
          <w:kern w:val="0"/>
          <w:sz w:val="32"/>
          <w:szCs w:val="32"/>
          <w:highlight w:val="none"/>
          <w:lang w:eastAsia="zh-CN"/>
        </w:rPr>
      </w:pPr>
    </w:p>
    <w:p w14:paraId="01847CE0">
      <w:pPr>
        <w:pStyle w:val="2"/>
        <w:rPr>
          <w:rFonts w:hint="default" w:ascii="Times New Roman" w:hAnsi="Times New Roman" w:eastAsia="方正仿宋_GBK" w:cs="Times New Roman"/>
          <w:b w:val="0"/>
          <w:bCs/>
          <w:kern w:val="0"/>
          <w:sz w:val="32"/>
          <w:szCs w:val="32"/>
          <w:highlight w:val="none"/>
          <w:lang w:eastAsia="zh-CN"/>
        </w:rPr>
      </w:pPr>
    </w:p>
    <w:p w14:paraId="60A49FE9">
      <w:pPr>
        <w:pStyle w:val="2"/>
        <w:rPr>
          <w:rFonts w:hint="default" w:ascii="Times New Roman" w:hAnsi="Times New Roman" w:eastAsia="方正仿宋_GBK" w:cs="Times New Roman"/>
          <w:b w:val="0"/>
          <w:bCs/>
          <w:kern w:val="0"/>
          <w:sz w:val="32"/>
          <w:szCs w:val="32"/>
          <w:highlight w:val="none"/>
          <w:lang w:eastAsia="zh-CN"/>
        </w:rPr>
      </w:pPr>
    </w:p>
    <w:p w14:paraId="13249E14">
      <w:pPr>
        <w:pStyle w:val="2"/>
        <w:rPr>
          <w:rFonts w:hint="default" w:ascii="Times New Roman" w:hAnsi="Times New Roman" w:eastAsia="方正仿宋_GBK" w:cs="Times New Roman"/>
          <w:b w:val="0"/>
          <w:bCs/>
          <w:kern w:val="0"/>
          <w:sz w:val="32"/>
          <w:szCs w:val="32"/>
          <w:highlight w:val="none"/>
          <w:lang w:val="en-US" w:eastAsia="zh-CN"/>
        </w:rPr>
      </w:pPr>
    </w:p>
    <w:p w14:paraId="1507C579">
      <w:pPr>
        <w:pStyle w:val="21"/>
        <w:keepNext w:val="0"/>
        <w:keepLines w:val="0"/>
        <w:pageBreakBefore w:val="0"/>
        <w:widowControl w:val="0"/>
        <w:kinsoku/>
        <w:wordWrap/>
        <w:overflowPunct/>
        <w:topLinePunct w:val="0"/>
        <w:autoSpaceDE/>
        <w:autoSpaceDN/>
        <w:bidi w:val="0"/>
        <w:adjustRightInd/>
        <w:snapToGrid/>
        <w:spacing w:line="720" w:lineRule="exact"/>
        <w:ind w:left="0" w:leftChars="0" w:right="0" w:firstLine="0" w:firstLineChars="0"/>
        <w:jc w:val="center"/>
        <w:textAlignment w:val="auto"/>
        <w:outlineLvl w:val="0"/>
        <w:rPr>
          <w:rFonts w:hint="eastAsia" w:ascii="方正小标宋_GBK" w:hAnsi="方正小标宋_GBK" w:eastAsia="方正小标宋_GBK" w:cs="方正小标宋_GBK"/>
          <w:b w:val="0"/>
          <w:bCs/>
          <w:sz w:val="44"/>
          <w:szCs w:val="44"/>
        </w:rPr>
      </w:pPr>
      <w:bookmarkStart w:id="17" w:name="_Toc27878"/>
      <w:bookmarkStart w:id="18" w:name="_Toc18402"/>
      <w:r>
        <w:rPr>
          <w:rFonts w:hint="eastAsia" w:ascii="方正小标宋_GBK" w:hAnsi="方正小标宋_GBK" w:eastAsia="方正小标宋_GBK" w:cs="方正小标宋_GBK"/>
          <w:b w:val="0"/>
          <w:bCs/>
          <w:sz w:val="44"/>
          <w:szCs w:val="44"/>
        </w:rPr>
        <w:t>第三章  供应商须知</w:t>
      </w:r>
      <w:bookmarkEnd w:id="17"/>
      <w:bookmarkEnd w:id="18"/>
    </w:p>
    <w:p w14:paraId="6A1CE053">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方正楷体_GBK" w:cs="Times New Roman"/>
          <w:b w:val="0"/>
          <w:bCs w:val="0"/>
          <w:sz w:val="32"/>
          <w:szCs w:val="32"/>
        </w:rPr>
      </w:pPr>
      <w:bookmarkStart w:id="19" w:name="_Toc16172"/>
      <w:bookmarkStart w:id="20" w:name="_Toc21631"/>
      <w:r>
        <w:rPr>
          <w:rFonts w:hint="default" w:ascii="Times New Roman" w:hAnsi="Times New Roman" w:eastAsia="方正楷体_GBK" w:cs="Times New Roman"/>
          <w:b w:val="0"/>
          <w:bCs w:val="0"/>
          <w:sz w:val="32"/>
          <w:szCs w:val="32"/>
        </w:rPr>
        <w:t>一、响应文件编制</w:t>
      </w:r>
      <w:bookmarkEnd w:id="19"/>
      <w:bookmarkEnd w:id="20"/>
    </w:p>
    <w:p w14:paraId="6B3DADEE">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rPr>
      </w:pPr>
      <w:bookmarkStart w:id="21" w:name="_Toc26720"/>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rPr>
        <w:t>要求</w:t>
      </w:r>
    </w:p>
    <w:p w14:paraId="75A68CFD">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sz w:val="32"/>
          <w:szCs w:val="32"/>
        </w:rPr>
        <w:t>供应商应详细阅读文件的全部内容，按照文件的要求编制响应文件，并保证所提供全部资料的真实性，</w:t>
      </w:r>
      <w:r>
        <w:rPr>
          <w:rFonts w:hint="default" w:ascii="Times New Roman" w:hAnsi="Times New Roman" w:eastAsia="方正仿宋_GBK" w:cs="Times New Roman"/>
          <w:b w:val="0"/>
          <w:bCs/>
          <w:sz w:val="32"/>
          <w:szCs w:val="32"/>
        </w:rPr>
        <w:t>响应文件必须对文件提出的要求和条件作出实质性响应，否则，其报价将被视为无效。</w:t>
      </w:r>
      <w:bookmarkEnd w:id="21"/>
    </w:p>
    <w:p w14:paraId="049BAB5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w:t>
      </w:r>
      <w:bookmarkStart w:id="22" w:name="_Toc28704"/>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响应文件的语言和度量衡单位</w:t>
      </w:r>
      <w:bookmarkEnd w:id="22"/>
    </w:p>
    <w:p w14:paraId="70D3ADC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（1）响应文件包括报价表中商品的品名、品牌、型号、技术规格以及供应商与采购交易科就有关的所有来往函电均使用中文；</w:t>
      </w:r>
    </w:p>
    <w:p w14:paraId="32635FBA">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（2）用非中文版印刷的产品说明书， 供应商应附以中文译文；</w:t>
      </w:r>
    </w:p>
    <w:p w14:paraId="7C9E7064">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（3）响应文件中所使用的度量衡单位，除文件中做出要求外，一律用法定计量单位；</w:t>
      </w:r>
    </w:p>
    <w:p w14:paraId="0A69D699">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（4）响应文件中所报商品或服务的价格必须为人民币。</w:t>
      </w:r>
    </w:p>
    <w:p w14:paraId="55AA5E94">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3、响应文件的构成</w:t>
      </w:r>
    </w:p>
    <w:p w14:paraId="327F6EB3">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23" w:name="_Toc22072"/>
      <w:bookmarkStart w:id="24" w:name="_Toc15812"/>
      <w:bookmarkStart w:id="25" w:name="_Toc4106"/>
      <w:r>
        <w:rPr>
          <w:rFonts w:hint="default" w:ascii="Times New Roman" w:hAnsi="Times New Roman" w:eastAsia="方正仿宋_GBK" w:cs="Times New Roman"/>
          <w:b w:val="0"/>
          <w:bCs/>
          <w:sz w:val="32"/>
          <w:szCs w:val="32"/>
        </w:rPr>
        <w:t>（1）响应说明；</w:t>
      </w:r>
      <w:bookmarkEnd w:id="23"/>
      <w:bookmarkEnd w:id="24"/>
      <w:bookmarkEnd w:id="25"/>
    </w:p>
    <w:p w14:paraId="7534CD16">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26" w:name="_Toc17085"/>
      <w:bookmarkStart w:id="27" w:name="_Toc18828"/>
      <w:bookmarkStart w:id="28" w:name="_Toc17011"/>
      <w:r>
        <w:rPr>
          <w:rFonts w:hint="default" w:ascii="Times New Roman" w:hAnsi="Times New Roman" w:eastAsia="方正仿宋_GBK" w:cs="Times New Roman"/>
          <w:b w:val="0"/>
          <w:bCs/>
          <w:sz w:val="32"/>
          <w:szCs w:val="32"/>
        </w:rPr>
        <w:t>（2）保证书；</w:t>
      </w:r>
      <w:bookmarkEnd w:id="26"/>
      <w:bookmarkEnd w:id="27"/>
      <w:bookmarkEnd w:id="28"/>
    </w:p>
    <w:p w14:paraId="2732ABA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（3）报价表</w:t>
      </w:r>
    </w:p>
    <w:p w14:paraId="2FBBC63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29" w:name="_Toc16418"/>
      <w:bookmarkStart w:id="30" w:name="_Toc28944"/>
      <w:bookmarkStart w:id="31" w:name="_Toc14614"/>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w:t>
      </w:r>
      <w:bookmarkEnd w:id="29"/>
      <w:bookmarkEnd w:id="30"/>
      <w:bookmarkEnd w:id="31"/>
      <w:bookmarkStart w:id="32" w:name="_Toc6457"/>
      <w:bookmarkStart w:id="33" w:name="_Toc15171"/>
      <w:bookmarkStart w:id="34" w:name="_Toc24513"/>
      <w:r>
        <w:rPr>
          <w:rFonts w:hint="default" w:ascii="Times New Roman" w:hAnsi="Times New Roman" w:eastAsia="方正仿宋_GBK" w:cs="Times New Roman"/>
          <w:b w:val="0"/>
          <w:bCs/>
          <w:sz w:val="32"/>
          <w:szCs w:val="32"/>
        </w:rPr>
        <w:t>项目实施方案；</w:t>
      </w:r>
      <w:bookmarkEnd w:id="32"/>
      <w:bookmarkEnd w:id="33"/>
      <w:bookmarkEnd w:id="34"/>
    </w:p>
    <w:p w14:paraId="62898C6A">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中小</w:t>
      </w:r>
      <w:r>
        <w:rPr>
          <w:rFonts w:hint="default" w:ascii="Times New Roman" w:hAnsi="Times New Roman" w:eastAsia="方正仿宋_GBK" w:cs="Times New Roman"/>
          <w:b w:val="0"/>
          <w:bCs/>
          <w:sz w:val="32"/>
          <w:szCs w:val="32"/>
        </w:rPr>
        <w:t>企业声明函；</w:t>
      </w:r>
    </w:p>
    <w:p w14:paraId="1BDC59BE">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35" w:name="_Toc13073"/>
      <w:bookmarkStart w:id="36" w:name="_Toc25489"/>
      <w:bookmarkStart w:id="37" w:name="_Toc1909"/>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rPr>
        <w:t>）项目售后服务承诺；</w:t>
      </w:r>
      <w:bookmarkEnd w:id="35"/>
      <w:bookmarkEnd w:id="36"/>
      <w:bookmarkEnd w:id="37"/>
    </w:p>
    <w:p w14:paraId="67C37211">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38" w:name="_Toc19209"/>
      <w:bookmarkStart w:id="39" w:name="_Toc10422"/>
      <w:bookmarkStart w:id="40" w:name="_Toc3092"/>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rPr>
        <w:t>）供应商资质和资信证明文件；</w:t>
      </w:r>
      <w:bookmarkEnd w:id="38"/>
      <w:bookmarkEnd w:id="39"/>
      <w:bookmarkEnd w:id="40"/>
    </w:p>
    <w:p w14:paraId="20311A9D">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bookmarkStart w:id="41" w:name="_Toc4245"/>
      <w:bookmarkStart w:id="42" w:name="_Toc7466"/>
      <w:bookmarkStart w:id="43" w:name="_Toc30857"/>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）证明商品或服务的合格性和符合文件规定的文件</w:t>
      </w:r>
      <w:bookmarkEnd w:id="41"/>
      <w:bookmarkEnd w:id="42"/>
      <w:bookmarkEnd w:id="43"/>
      <w:r>
        <w:rPr>
          <w:rFonts w:hint="default" w:ascii="Times New Roman" w:hAnsi="Times New Roman" w:eastAsia="方正仿宋_GBK" w:cs="Times New Roman"/>
          <w:b w:val="0"/>
          <w:bCs/>
          <w:sz w:val="32"/>
          <w:szCs w:val="32"/>
        </w:rPr>
        <w:t>；</w:t>
      </w:r>
    </w:p>
    <w:p w14:paraId="7C9C2BD5">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FF0000"/>
          <w:kern w:val="2"/>
          <w:sz w:val="32"/>
          <w:szCs w:val="32"/>
          <w:lang w:val="en-US" w:eastAsia="zh-CN" w:bidi="ar-SA"/>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）其他资料.</w:t>
      </w:r>
    </w:p>
    <w:p w14:paraId="60AF92E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方正仿宋_GBK" w:hAnsi="方正仿宋_GBK" w:eastAsia="方正仿宋_GBK" w:cs="方正仿宋_GBK"/>
          <w:b w:val="0"/>
          <w:bCs/>
          <w:sz w:val="32"/>
          <w:szCs w:val="32"/>
          <w:lang w:val="en-US" w:eastAsia="zh-CN"/>
        </w:rPr>
      </w:pPr>
    </w:p>
    <w:p w14:paraId="7903C109">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报价</w:t>
      </w:r>
    </w:p>
    <w:p w14:paraId="4C5AD789">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rPr>
        <w:t>不允许供应商对同一标的有两个或两个以上的报价方案；</w:t>
      </w:r>
    </w:p>
    <w:p w14:paraId="6489350F">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人在提供的报价表上标明的货物的单价和总价均为交货地价；</w:t>
      </w:r>
    </w:p>
    <w:p w14:paraId="15D9C53D">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一览表与报价明细表汇总金额不一致的以报价一览表为准；响应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14:paraId="424147F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 xml:space="preserve">供应商若不同意按以上原则处理，则报价无效。 </w:t>
      </w:r>
    </w:p>
    <w:p w14:paraId="1D359B0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rPr>
        <w:t>、企业评审价</w:t>
      </w:r>
    </w:p>
    <w:p w14:paraId="049F900C">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根据《政府采购促进中小企业发展管理办法》（财库〔2020〕46 号）、《关于进一步加大政府采购支持中小企业力度的通知》（财库〔2022〕19号）的规定，对符合条件企业提供的货物、工程或服务的投标报价给予</w:t>
      </w:r>
      <w:r>
        <w:rPr>
          <w:rFonts w:hint="eastAsia"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0%的扣除作为评审价。</w:t>
      </w:r>
    </w:p>
    <w:p w14:paraId="5E7ECD60">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满足要求</w:t>
      </w:r>
      <w:r>
        <w:rPr>
          <w:rFonts w:hint="default" w:ascii="Times New Roman" w:hAnsi="Times New Roman" w:eastAsia="方正仿宋_GBK" w:cs="Times New Roman"/>
          <w:b w:val="0"/>
          <w:bCs/>
          <w:sz w:val="32"/>
          <w:szCs w:val="32"/>
        </w:rPr>
        <w:t>企业须</w:t>
      </w:r>
      <w:r>
        <w:rPr>
          <w:rFonts w:hint="default" w:ascii="Times New Roman" w:hAnsi="Times New Roman" w:eastAsia="方正仿宋_GBK" w:cs="Times New Roman"/>
          <w:b w:val="0"/>
          <w:bCs/>
          <w:sz w:val="32"/>
          <w:szCs w:val="32"/>
          <w:lang w:val="en-US" w:eastAsia="zh-CN"/>
        </w:rPr>
        <w:t>填写《中小企业声明函》</w:t>
      </w:r>
      <w:r>
        <w:rPr>
          <w:rFonts w:hint="default" w:ascii="Times New Roman" w:hAnsi="Times New Roman" w:eastAsia="方正仿宋_GBK" w:cs="Times New Roman"/>
          <w:b w:val="0"/>
          <w:bCs/>
          <w:sz w:val="32"/>
          <w:szCs w:val="32"/>
        </w:rPr>
        <w:t>，不按要求提供则不</w:t>
      </w:r>
      <w:r>
        <w:rPr>
          <w:rFonts w:hint="eastAsia" w:ascii="Times New Roman" w:hAnsi="Times New Roman" w:eastAsia="方正仿宋_GBK" w:cs="Times New Roman"/>
          <w:b w:val="0"/>
          <w:bCs/>
          <w:sz w:val="32"/>
          <w:szCs w:val="32"/>
          <w:lang w:val="en-US" w:eastAsia="zh-CN"/>
        </w:rPr>
        <w:t>进行</w:t>
      </w:r>
      <w:r>
        <w:rPr>
          <w:rFonts w:hint="default" w:ascii="Times New Roman" w:hAnsi="Times New Roman" w:eastAsia="方正仿宋_GBK" w:cs="Times New Roman"/>
          <w:b w:val="0"/>
          <w:bCs/>
          <w:sz w:val="32"/>
          <w:szCs w:val="32"/>
        </w:rPr>
        <w:t>评审价格扣除。</w:t>
      </w:r>
    </w:p>
    <w:p w14:paraId="4A1649E8">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rPr>
        <w:t>、供应商资格和资信证明文件</w:t>
      </w:r>
    </w:p>
    <w:p w14:paraId="38F9E4FA">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供应商应提交证明其有资格进行报价和有能力履行合同的文件，作为响应文件的一部分：</w:t>
      </w:r>
    </w:p>
    <w:p w14:paraId="53A7D28F">
      <w:pPr>
        <w:pStyle w:val="21"/>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（1）法人或者其他组织的营业执照等证明文件，自然人的身份证明（供应商的生产经营资格证明（复印件加盖公章）、工商营业执照、税务登记证、法人机构代码证（副本复印件加盖公章）等）；</w:t>
      </w:r>
    </w:p>
    <w:p w14:paraId="0C8BE09A">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（2）财务状况报告，依法缴纳税收和社会保障资金的相关材料；</w:t>
      </w:r>
    </w:p>
    <w:p w14:paraId="6E6AD806">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（3）具备履行合同所必需的设备和专业技术能力的证明材料；</w:t>
      </w:r>
    </w:p>
    <w:p w14:paraId="15400F3C">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（4）参加政府采购活动前3年内在经营活动中没有重大违法记录的书面声明；</w:t>
      </w:r>
    </w:p>
    <w:p w14:paraId="497EBC54">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（5）具备法律、行政法规规定的其他条件的证明材料。</w:t>
      </w:r>
    </w:p>
    <w:p w14:paraId="62E06FA7">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（6）采购项目有特殊要求的，投标人还应当提供其符合特殊要求的证明材料或者情况说明。</w:t>
      </w:r>
    </w:p>
    <w:p w14:paraId="44B23FEC">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（7）法定代表人资格证明（原件），报价代表本人身份证（原件），法人代表授权参与报价的，委托代理人还必须出具法人亲笔签署的授权委托书。</w:t>
      </w:r>
    </w:p>
    <w:p w14:paraId="04EFFA72">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rPr>
        <w:t>、证明商品和服务的合格性和符合文件规定的文件</w:t>
      </w:r>
    </w:p>
    <w:p w14:paraId="7220B751">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 商品和服务合格性的证明文件应包括对设备和服务来源地的说明及项目的中文产品说明，并有符合国家质量检测标准的合格证明；</w:t>
      </w:r>
    </w:p>
    <w:p w14:paraId="1019EEC8">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（2）证明商品和服务与文件的要求相一致的文件，可以是文字（中文）资料、图纸和数据，包括：</w:t>
      </w:r>
    </w:p>
    <w:p w14:paraId="4892090F">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A、对照文件的要求逐条对所提供货物的主要技术指标和性能，作有无偏离的详细说明； </w:t>
      </w:r>
    </w:p>
    <w:p w14:paraId="594CFA8C">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B、对售后服务做出实质性的响应。</w:t>
      </w:r>
    </w:p>
    <w:p w14:paraId="200A6AFE">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bookmarkStart w:id="44" w:name="_Toc5678"/>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w:t>
      </w:r>
      <w:bookmarkEnd w:id="44"/>
      <w:r>
        <w:rPr>
          <w:rFonts w:hint="default" w:ascii="Times New Roman" w:hAnsi="Times New Roman" w:eastAsia="方正仿宋_GBK" w:cs="Times New Roman"/>
          <w:b w:val="0"/>
          <w:bCs/>
          <w:sz w:val="32"/>
          <w:szCs w:val="32"/>
        </w:rPr>
        <w:t xml:space="preserve">响应文件签署。必须由报价单位法定代表人或经法定代表人授权的委托代理人用不褪色的墨水签署并加盖公章。                                                                                                                                                                                                                                                                                                                                                                                                                                                                                                                                                                                                                                                                                                                                                                                                                                                                                                                                                                                                                                                                                                                                                                                                                                                                                                                                                                                                                                                                                                                                                                                                                                                                                                                                                                                                                                                                                                                                                                                                                                                                                                                                                                                                                                                                                                                                                                                                                                                                                                                                                                                                                                                                                                                                                                                                                                                                                                                                                                                                                                                                                                                                                                                                                                                                                                                                                                                                                                                                                                                                                                                                                                                                                                                                                                                                                                                                                                                                                                                                                                                                                                                                                               </w:t>
      </w:r>
      <w:r>
        <w:rPr>
          <w:rFonts w:hint="default" w:ascii="Times New Roman" w:hAnsi="Times New Roman" w:eastAsia="方正仿宋_GBK" w:cs="Times New Roman"/>
          <w:b w:val="0"/>
          <w:bCs/>
          <w:sz w:val="32"/>
          <w:szCs w:val="32"/>
        </w:rPr>
        <w:t xml:space="preserve">                                                                                                                                                                                                                                                                                                                                                                                                                                                                                                                                                                                                                                                                                                                                                                                                         　　　　　　</w:t>
      </w:r>
    </w:p>
    <w:p w14:paraId="0941FA52">
      <w:pPr>
        <w:pStyle w:val="21"/>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方正黑体_GBK" w:hAnsi="方正黑体_GBK" w:eastAsia="方正黑体_GBK" w:cs="方正黑体_GBK"/>
          <w:b/>
          <w:sz w:val="32"/>
          <w:szCs w:val="32"/>
        </w:rPr>
      </w:pPr>
      <w:bookmarkStart w:id="45" w:name="_Toc10410"/>
      <w:bookmarkStart w:id="46" w:name="_Toc15368"/>
    </w:p>
    <w:p w14:paraId="400626D6">
      <w:pPr>
        <w:pStyle w:val="21"/>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二、及评审</w:t>
      </w:r>
      <w:bookmarkEnd w:id="45"/>
      <w:bookmarkEnd w:id="46"/>
    </w:p>
    <w:p w14:paraId="4ADDD3D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val="0"/>
          <w:bCs/>
          <w:sz w:val="32"/>
          <w:szCs w:val="32"/>
        </w:rPr>
        <w:t>１、的步骤</w:t>
      </w:r>
    </w:p>
    <w:p w14:paraId="25E8A8E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（1）采购按邀请书中规定的时间和地点进行，参加的供应商代表应签名报到以证明其已参与；</w:t>
      </w:r>
    </w:p>
    <w:p w14:paraId="2B16AFE2">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bCs/>
          <w:color w:val="FF0000"/>
          <w:sz w:val="32"/>
          <w:szCs w:val="32"/>
          <w:lang w:val="en-US" w:eastAsia="zh-CN"/>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）开标时，投标代表须持纸质打印的</w:t>
      </w:r>
      <w:r>
        <w:rPr>
          <w:rFonts w:hint="default" w:ascii="Times New Roman" w:hAnsi="Times New Roman" w:eastAsia="方正仿宋_GBK" w:cs="Times New Roman"/>
          <w:b/>
          <w:bCs/>
          <w:color w:val="FF0000"/>
          <w:sz w:val="32"/>
          <w:szCs w:val="32"/>
          <w:lang w:val="en-US" w:eastAsia="zh-CN"/>
        </w:rPr>
        <w:t>本人身份证（原件）、法定代表人资格证明（原件）、法定代表人亲笔签署的授权委托书（原件）进行资格审查，证件不全不予开标。</w:t>
      </w:r>
    </w:p>
    <w:p w14:paraId="18D1A9B4">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）响应文件审查</w:t>
      </w:r>
    </w:p>
    <w:p w14:paraId="090B251D">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）小组所有成员应当集中与单一供应商分别进行，并给予所有参加的供应商平等的机会，本次</w:t>
      </w:r>
      <w:r>
        <w:rPr>
          <w:rFonts w:hint="eastAsia" w:ascii="Times New Roman" w:hAnsi="Times New Roman" w:eastAsia="方正仿宋_GBK" w:cs="Times New Roman"/>
          <w:sz w:val="32"/>
          <w:szCs w:val="32"/>
          <w:lang w:val="en-US" w:eastAsia="zh-CN"/>
        </w:rPr>
        <w:t>含</w:t>
      </w:r>
      <w:r>
        <w:rPr>
          <w:rFonts w:hint="eastAsia" w:ascii="黑体" w:hAnsi="黑体" w:eastAsia="黑体" w:cs="黑体"/>
          <w:sz w:val="32"/>
          <w:szCs w:val="32"/>
          <w:lang w:val="en-US" w:eastAsia="zh-CN"/>
        </w:rPr>
        <w:t>现场演示（含准备时间）时间不超过 40 分钟、</w:t>
      </w:r>
      <w:r>
        <w:rPr>
          <w:rFonts w:hint="default" w:ascii="Times New Roman" w:hAnsi="Times New Roman" w:eastAsia="方正仿宋_GBK" w:cs="Times New Roman"/>
          <w:sz w:val="32"/>
          <w:szCs w:val="32"/>
        </w:rPr>
        <w:t>现场进行一轮技术性和两轮报价（含最终报价），若小组认为有必要对技术部分进行补充的，投标人在最终报价结束前可对内容进行补充。</w:t>
      </w:r>
    </w:p>
    <w:p w14:paraId="06DF81C3">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在过程中，小组可以根据文件和情况实质性变动采购需求中的质量、服务要求以及合同草案条款，但不得变动文件中的其他内容。对文件作出的实质性变动是文件的有效组成部分，小组应当及时以书面形式同时通知所有参加的供应商。供应商应当按照文件的变动情况和小组的要求重新提交响应文件，并由其法定代表人或授权代表签字或者加盖公章。</w:t>
      </w:r>
    </w:p>
    <w:p w14:paraId="2D53F981">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b、文件能够详细列明采购标的的技术、服务要求的，结束后，小组将要求所有实质性响应的供应商在规定时间内提交最后报价。最后报价是供应商响应文件的有效组成部分。</w:t>
      </w:r>
      <w:r>
        <w:rPr>
          <w:rFonts w:hint="default" w:ascii="Times New Roman" w:hAnsi="Times New Roman" w:eastAsia="方正仿宋_GBK" w:cs="Times New Roman"/>
          <w:b/>
          <w:bCs/>
          <w:color w:val="FF0000"/>
          <w:sz w:val="32"/>
          <w:szCs w:val="32"/>
          <w:lang w:val="en-US" w:eastAsia="zh-CN"/>
        </w:rPr>
        <w:t>未按时提交最后报价的报价分为0分。</w:t>
      </w:r>
    </w:p>
    <w:p w14:paraId="4BBDBC5E">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c、已提交响应文件的供应商，在提交最后报价之前，可以根据情况退出。</w:t>
      </w:r>
    </w:p>
    <w:p w14:paraId="23DCC759">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经确定最终采购需求和提交最后报价的供应商后，由小组采用综合评分法对提交最后报价的供应商的响应文件和最后报价进行综合评分。综合评分法，是指响应文件满足文件全部实质性要求且按评审因素的量化指标评审得分最高的供应商为成交候选供应商的评审方法。</w:t>
      </w:r>
    </w:p>
    <w:p w14:paraId="01F5DA20">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e、评审时，小组各成员独立对每个有效响应的文件进行评价、打分，然后汇总每个供应商每项评分因素的得分。</w:t>
      </w:r>
    </w:p>
    <w:p w14:paraId="08612471">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文件的澄清</w:t>
      </w:r>
    </w:p>
    <w:p w14:paraId="56AF15D0">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21795BD">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小组要求供应商澄清、说明或者更正响应文件将以书面形式作出。供应商的澄清、说明或者更正应当由法定代表人或其授权代表签字或者加盖公章。</w:t>
      </w:r>
    </w:p>
    <w:p w14:paraId="40531A4B">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（2）在中，的任何一方不得透露与有关的其它供应商的技术资料、价格和其它信息。</w:t>
      </w:r>
    </w:p>
    <w:p w14:paraId="050BE6C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rPr>
        <w:t>成交原则</w:t>
      </w:r>
    </w:p>
    <w:p w14:paraId="24F31A85">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（1）采购交易科将根据本次项目要求组建小组。</w:t>
      </w:r>
    </w:p>
    <w:p w14:paraId="5263D489">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（2）成交原则：公正、公平、科学、规范、合法。</w:t>
      </w:r>
    </w:p>
    <w:p w14:paraId="3483ADD9">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（3）成交标准：</w:t>
      </w:r>
    </w:p>
    <w:p w14:paraId="175E8162">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小组应当根据综合评分情况，按照评审得分由高到低顺序推荐成交候选供应商，并编写评审报告。评审得分相同的，按照最后报价由低到高的顺序推荐。评审得分且最后报价相同的，按照技术指标优劣顺序推荐。</w:t>
      </w:r>
    </w:p>
    <w:p w14:paraId="6D321D04">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（4）确定成交供应商：</w:t>
      </w:r>
    </w:p>
    <w:p w14:paraId="77F194B5">
      <w:pPr>
        <w:pStyle w:val="21"/>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采购小组</w:t>
      </w:r>
      <w:r>
        <w:rPr>
          <w:rFonts w:hint="default" w:ascii="Times New Roman" w:hAnsi="Times New Roman" w:eastAsia="方正仿宋_GBK" w:cs="Times New Roman"/>
          <w:sz w:val="32"/>
          <w:szCs w:val="32"/>
        </w:rPr>
        <w:t>在评审结束后2个工作日内将评审报告送</w:t>
      </w:r>
      <w:r>
        <w:rPr>
          <w:rFonts w:hint="default" w:ascii="Times New Roman" w:hAnsi="Times New Roman" w:eastAsia="方正仿宋_GBK" w:cs="Times New Roman"/>
          <w:sz w:val="32"/>
          <w:szCs w:val="32"/>
          <w:lang w:eastAsia="zh-CN"/>
        </w:rPr>
        <w:t>局领导小组</w:t>
      </w:r>
      <w:r>
        <w:rPr>
          <w:rFonts w:hint="default" w:ascii="Times New Roman" w:hAnsi="Times New Roman" w:eastAsia="方正仿宋_GBK" w:cs="Times New Roman"/>
          <w:sz w:val="32"/>
          <w:szCs w:val="32"/>
        </w:rPr>
        <w:t>人确认。采购人应当在收到评审报告后5个工作日内，从评审报告提出的成交候选人中，确定成交供应商数量。采购人逾期未确定成交供应商且不提出异议的，视为确定评审报告提出的最后得分最高的供应商为成交供应商。</w:t>
      </w:r>
    </w:p>
    <w:p w14:paraId="7B34A07B">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（5）小组如发现供应商及其响应文件存在下列情况之一的，其响应文件将不列入评审范围：</w:t>
      </w:r>
    </w:p>
    <w:p w14:paraId="6782C759">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a、无单位盖章、无法定代表人或法定代表人授权的代理人签字或盖章的；</w:t>
      </w:r>
    </w:p>
    <w:p w14:paraId="27FFE0AA">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b、竞争性文件要求提供的资格证明文件不全的；</w:t>
      </w:r>
    </w:p>
    <w:p w14:paraId="4E8A09BE">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c、响应项目不完整的；</w:t>
      </w:r>
    </w:p>
    <w:p w14:paraId="6F117875">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d、供应商名称或组织结构与资格预审时不一致且未提供有效证明的；</w:t>
      </w:r>
    </w:p>
    <w:p w14:paraId="278B8565">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e、响应报价超出预算价的；</w:t>
      </w:r>
    </w:p>
    <w:p w14:paraId="3E37562D">
      <w:pPr>
        <w:keepNext w:val="0"/>
        <w:keepLines w:val="0"/>
        <w:pageBreakBefore w:val="0"/>
        <w:widowControl w:val="0"/>
        <w:tabs>
          <w:tab w:val="left" w:pos="3060"/>
        </w:tabs>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val="0"/>
          <w:bCs/>
          <w:sz w:val="32"/>
          <w:szCs w:val="32"/>
        </w:rPr>
        <w:t>f、文件明确规定的其他情形。</w:t>
      </w:r>
    </w:p>
    <w:p w14:paraId="364B27B9">
      <w:pPr>
        <w:pStyle w:val="2"/>
        <w:ind w:left="0" w:leftChars="0" w:firstLine="0" w:firstLineChars="0"/>
        <w:rPr>
          <w:rFonts w:hint="eastAsia" w:ascii="仿宋_GB2312" w:hAnsi="宋体" w:eastAsia="仿宋_GB2312"/>
          <w:b/>
          <w:sz w:val="24"/>
          <w:szCs w:val="24"/>
        </w:rPr>
      </w:pPr>
    </w:p>
    <w:p w14:paraId="6CB3B621">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4、</w:t>
      </w:r>
      <w:r>
        <w:rPr>
          <w:rFonts w:hint="eastAsia" w:ascii="方正小标宋_GBK" w:hAnsi="方正小标宋_GBK" w:eastAsia="方正小标宋_GBK" w:cs="方正小标宋_GBK"/>
          <w:b w:val="0"/>
          <w:bCs/>
          <w:sz w:val="44"/>
          <w:szCs w:val="44"/>
          <w:lang w:val="en-US" w:eastAsia="zh-CN"/>
        </w:rPr>
        <w:t>评分办法和标准</w:t>
      </w:r>
    </w:p>
    <w:p w14:paraId="3C8288CB">
      <w:pPr>
        <w:pStyle w:val="21"/>
        <w:keepNext w:val="0"/>
        <w:keepLines w:val="0"/>
        <w:pageBreakBefore w:val="0"/>
        <w:widowControl w:val="0"/>
        <w:numPr>
          <w:ilvl w:val="0"/>
          <w:numId w:val="0"/>
        </w:numPr>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b w:val="0"/>
          <w:bCs/>
          <w:sz w:val="44"/>
          <w:szCs w:val="44"/>
          <w:lang w:val="en-US" w:eastAsia="zh-CN"/>
        </w:rPr>
      </w:pPr>
    </w:p>
    <w:p w14:paraId="72C1241C">
      <w:pPr>
        <w:rPr>
          <w:rFonts w:hint="eastAsia" w:ascii="方正小标宋_GBK" w:hAnsi="方正小标宋_GBK" w:eastAsia="方正小标宋_GBK" w:cs="方正小标宋_GBK"/>
          <w:b w:val="0"/>
          <w:bCs/>
          <w:sz w:val="44"/>
          <w:szCs w:val="44"/>
          <w:lang w:val="en-US" w:eastAsia="zh-CN"/>
        </w:rPr>
      </w:pPr>
    </w:p>
    <w:p w14:paraId="5B13EC2A">
      <w:pPr>
        <w:rPr>
          <w:rFonts w:hint="eastAsia"/>
          <w:lang w:val="en-US" w:eastAsia="zh-CN"/>
        </w:rPr>
      </w:pPr>
    </w:p>
    <w:tbl>
      <w:tblPr>
        <w:tblStyle w:val="38"/>
        <w:tblW w:w="9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0"/>
        <w:gridCol w:w="1637"/>
        <w:gridCol w:w="6174"/>
      </w:tblGrid>
      <w:tr w14:paraId="50131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01" w:type="dxa"/>
            <w:gridSpan w:val="3"/>
            <w:vAlign w:val="center"/>
          </w:tcPr>
          <w:p w14:paraId="539D37FE">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val="0"/>
                <w:bCs/>
                <w:sz w:val="32"/>
                <w:szCs w:val="32"/>
                <w:vertAlign w:val="baseline"/>
                <w:lang w:val="en-US" w:eastAsia="zh-CN"/>
              </w:rPr>
            </w:pPr>
            <w:r>
              <w:rPr>
                <w:rFonts w:hint="eastAsia" w:ascii="方正小标宋_GBK" w:hAnsi="方正小标宋_GBK" w:eastAsia="方正小标宋_GBK" w:cs="方正小标宋_GBK"/>
                <w:b w:val="0"/>
                <w:bCs/>
                <w:kern w:val="2"/>
                <w:sz w:val="32"/>
                <w:szCs w:val="32"/>
                <w:lang w:val="en-US" w:eastAsia="zh-CN" w:bidi="ar-SA"/>
              </w:rPr>
              <w:t>评分办法和标准</w:t>
            </w:r>
          </w:p>
        </w:tc>
      </w:tr>
      <w:tr w14:paraId="042F1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5D231846">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val="0"/>
                <w:bCs/>
                <w:sz w:val="32"/>
                <w:szCs w:val="32"/>
                <w:vertAlign w:val="baseline"/>
                <w:lang w:val="en-US" w:eastAsia="zh-CN"/>
              </w:rPr>
            </w:pPr>
            <w:r>
              <w:rPr>
                <w:rFonts w:hint="eastAsia" w:ascii="方正小标宋_GBK" w:hAnsi="方正小标宋_GBK" w:eastAsia="方正小标宋_GBK" w:cs="方正小标宋_GBK"/>
                <w:b w:val="0"/>
                <w:bCs/>
                <w:kern w:val="2"/>
                <w:sz w:val="32"/>
                <w:szCs w:val="32"/>
                <w:lang w:val="en-US" w:eastAsia="zh-CN" w:bidi="ar-SA"/>
              </w:rPr>
              <w:t>评审内容</w:t>
            </w:r>
          </w:p>
        </w:tc>
        <w:tc>
          <w:tcPr>
            <w:tcW w:w="7811" w:type="dxa"/>
            <w:gridSpan w:val="2"/>
            <w:vAlign w:val="center"/>
          </w:tcPr>
          <w:p w14:paraId="3CBACB0C">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方正小标宋_GBK" w:hAnsi="方正小标宋_GBK" w:eastAsia="方正小标宋_GBK" w:cs="方正小标宋_GBK"/>
                <w:b w:val="0"/>
                <w:bCs/>
                <w:sz w:val="32"/>
                <w:szCs w:val="32"/>
                <w:vertAlign w:val="baseline"/>
                <w:lang w:val="en-US" w:eastAsia="zh-CN"/>
              </w:rPr>
            </w:pPr>
            <w:r>
              <w:rPr>
                <w:rFonts w:hint="eastAsia" w:ascii="方正小标宋_GBK" w:hAnsi="方正小标宋_GBK" w:eastAsia="方正小标宋_GBK" w:cs="方正小标宋_GBK"/>
                <w:b w:val="0"/>
                <w:bCs/>
                <w:kern w:val="2"/>
                <w:sz w:val="32"/>
                <w:szCs w:val="32"/>
                <w:lang w:val="en-US" w:eastAsia="zh-CN" w:bidi="ar-SA"/>
              </w:rPr>
              <w:t>评审标准</w:t>
            </w:r>
          </w:p>
        </w:tc>
      </w:tr>
      <w:tr w14:paraId="3BAE0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4F68EE55">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评标总得分计算公式</w:t>
            </w:r>
          </w:p>
        </w:tc>
        <w:tc>
          <w:tcPr>
            <w:tcW w:w="7811" w:type="dxa"/>
            <w:gridSpan w:val="2"/>
          </w:tcPr>
          <w:p w14:paraId="461FB8C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人的评标总得分=F1+F2+F3</w:t>
            </w:r>
          </w:p>
          <w:p w14:paraId="2D2DB61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其中：F1、F2、F3分别为报价、技术部分、商务部分3项评分因素的汇总得分。</w:t>
            </w:r>
          </w:p>
        </w:tc>
      </w:tr>
      <w:tr w14:paraId="468D9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3B86CC3A">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评分因素权重</w:t>
            </w:r>
          </w:p>
        </w:tc>
        <w:tc>
          <w:tcPr>
            <w:tcW w:w="7811" w:type="dxa"/>
            <w:gridSpan w:val="2"/>
          </w:tcPr>
          <w:p w14:paraId="39A7D65C">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投标报价F1：10分。</w:t>
            </w:r>
          </w:p>
          <w:p w14:paraId="4CEC5FA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技术部分F2：</w:t>
            </w:r>
            <w:r>
              <w:rPr>
                <w:rFonts w:hint="eastAsia" w:ascii="宋体" w:hAnsi="宋体" w:cs="宋体"/>
                <w:sz w:val="28"/>
                <w:szCs w:val="28"/>
                <w:lang w:val="en-US" w:eastAsia="zh-CN"/>
              </w:rPr>
              <w:t>65</w:t>
            </w:r>
            <w:r>
              <w:rPr>
                <w:rFonts w:hint="eastAsia" w:ascii="宋体" w:hAnsi="宋体" w:eastAsia="宋体" w:cs="宋体"/>
                <w:sz w:val="28"/>
                <w:szCs w:val="28"/>
                <w:lang w:val="en-US" w:eastAsia="zh-CN"/>
              </w:rPr>
              <w:t>分。</w:t>
            </w:r>
          </w:p>
          <w:p w14:paraId="517D4C5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商务部分F3：2</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分。</w:t>
            </w:r>
          </w:p>
        </w:tc>
      </w:tr>
      <w:tr w14:paraId="16C39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58F92376">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报价得分F1</w:t>
            </w:r>
          </w:p>
          <w:p w14:paraId="156589D5">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（满分10分）</w:t>
            </w:r>
          </w:p>
        </w:tc>
        <w:tc>
          <w:tcPr>
            <w:tcW w:w="7811" w:type="dxa"/>
            <w:gridSpan w:val="2"/>
          </w:tcPr>
          <w:p w14:paraId="2FED759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报价得分采用低价优先法计算，即满足文件要求且价格最低的报价为评标基准价，其价格为满分。其他人的价格分统一按照下列公式计算：</w:t>
            </w:r>
          </w:p>
          <w:p w14:paraId="286F697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报价计算公式=评价基准价/</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报价×10</w:t>
            </w:r>
          </w:p>
          <w:p w14:paraId="093CA0D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即：F1=[C/(B1,B2,....,Bn)]×10</w:t>
            </w:r>
          </w:p>
          <w:p w14:paraId="46C4E38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注：C为评标基准价，即审查合格且</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价格最低的有效报价，B1，B2，....,Bn为第n个审查合格的有效报价。</w:t>
            </w:r>
          </w:p>
          <w:p w14:paraId="787559A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注：本项目针对小微企业或残疾人福利性单位的报价给予20%的扣除，用扣除后的价格参与评审，残疾人福利性质单位属于小微企业的，不重复享受政策。</w:t>
            </w:r>
          </w:p>
        </w:tc>
      </w:tr>
      <w:tr w14:paraId="51D9A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vAlign w:val="center"/>
          </w:tcPr>
          <w:p w14:paraId="6FA774DF">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技术部分得分F2</w:t>
            </w:r>
          </w:p>
          <w:p w14:paraId="42BD3D9A">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（满分</w:t>
            </w:r>
            <w:r>
              <w:rPr>
                <w:rFonts w:hint="eastAsia" w:ascii="宋体" w:hAnsi="宋体" w:cs="宋体"/>
                <w:sz w:val="28"/>
                <w:szCs w:val="28"/>
                <w:lang w:val="en-US" w:eastAsia="zh-CN"/>
              </w:rPr>
              <w:t>65</w:t>
            </w:r>
            <w:r>
              <w:rPr>
                <w:rFonts w:hint="eastAsia" w:ascii="宋体" w:hAnsi="宋体" w:eastAsia="宋体" w:cs="宋体"/>
                <w:sz w:val="28"/>
                <w:szCs w:val="28"/>
                <w:lang w:val="en-US" w:eastAsia="zh-CN"/>
              </w:rPr>
              <w:t>分）</w:t>
            </w:r>
          </w:p>
        </w:tc>
        <w:tc>
          <w:tcPr>
            <w:tcW w:w="1637" w:type="dxa"/>
            <w:vAlign w:val="center"/>
          </w:tcPr>
          <w:p w14:paraId="033CF310">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现场演示</w:t>
            </w:r>
          </w:p>
          <w:p w14:paraId="37696E58">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（满分35分）</w:t>
            </w:r>
          </w:p>
        </w:tc>
        <w:tc>
          <w:tcPr>
            <w:tcW w:w="6174" w:type="dxa"/>
          </w:tcPr>
          <w:p w14:paraId="34F03CF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 xml:space="preserve">①竞争性采购方式现场演示（满分 </w:t>
            </w:r>
            <w:r>
              <w:rPr>
                <w:rFonts w:hint="eastAsia" w:ascii="宋体" w:hAnsi="宋体" w:cs="宋体"/>
                <w:b/>
                <w:bCs/>
                <w:sz w:val="28"/>
                <w:szCs w:val="28"/>
                <w:lang w:val="en-US" w:eastAsia="zh-CN"/>
              </w:rPr>
              <w:t>15</w:t>
            </w:r>
            <w:r>
              <w:rPr>
                <w:rFonts w:hint="eastAsia" w:ascii="宋体" w:hAnsi="宋体" w:eastAsia="宋体" w:cs="宋体"/>
                <w:b/>
                <w:bCs/>
                <w:sz w:val="28"/>
                <w:szCs w:val="28"/>
                <w:lang w:val="en-US" w:eastAsia="zh-CN"/>
              </w:rPr>
              <w:t xml:space="preserve"> 分）</w:t>
            </w:r>
            <w:r>
              <w:rPr>
                <w:rFonts w:hint="eastAsia" w:ascii="宋体" w:hAnsi="宋体" w:eastAsia="宋体" w:cs="宋体"/>
                <w:sz w:val="28"/>
                <w:szCs w:val="28"/>
                <w:lang w:val="en-US" w:eastAsia="zh-CN"/>
              </w:rPr>
              <w:t xml:space="preserve"> </w:t>
            </w:r>
          </w:p>
          <w:p w14:paraId="7AA1113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应在电子化交易系统中采用竞争性采购方式进行现场演示。演示过程应至少包含竞争性文件编制、响应点设置、竞争性文件审核、获取竞争性文件、响应文件制作、响应文件上传、开启解密、竞争性小组签到、专家在线评审和、 评分汇总、退回评审、评审报告签字、采购结果生成、 采购结果确认、成交通知书发送共计十五项功能，电子化交易系统完全满足采购文件中相应功能要求的得15分，演示每出现一项不满足扣1分，扣完为止。</w:t>
            </w:r>
          </w:p>
          <w:p w14:paraId="7C569FA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 ②采购方式现场演示（满分6分）</w:t>
            </w:r>
          </w:p>
          <w:p w14:paraId="3B1B34C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应在电子化交易系统中对公开招标、邀请招标、竞争性谈判、询价、单一来源采购、框架协议采购（第一阶段）共计六种采购方式进行现场演示，电子化交易系统完全支持六种采购方式的得6分，缺少任何一种采购方式，本项不得分。</w:t>
            </w:r>
          </w:p>
          <w:p w14:paraId="5D21A1F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③支持采购人、代理机构、供应商</w:t>
            </w:r>
            <w:r>
              <w:rPr>
                <w:rFonts w:hint="eastAsia" w:ascii="宋体" w:hAnsi="宋体" w:cs="宋体"/>
                <w:b/>
                <w:bCs/>
                <w:sz w:val="28"/>
                <w:szCs w:val="28"/>
                <w:lang w:val="en-US" w:eastAsia="zh-CN"/>
              </w:rPr>
              <w:t>的</w:t>
            </w:r>
            <w:r>
              <w:rPr>
                <w:rFonts w:hint="eastAsia" w:ascii="宋体" w:hAnsi="宋体" w:eastAsia="宋体" w:cs="宋体"/>
                <w:b/>
                <w:bCs/>
                <w:sz w:val="28"/>
                <w:szCs w:val="28"/>
                <w:lang w:val="en-US" w:eastAsia="zh-CN"/>
              </w:rPr>
              <w:t>各类采购交易系统间 CA 锁实现互认。得3分。</w:t>
            </w:r>
          </w:p>
          <w:p w14:paraId="66E4BB5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不能实现1 处，本项不得分。</w:t>
            </w:r>
          </w:p>
          <w:p w14:paraId="7E6358D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④查询统计分析现场演示（满分6分）</w:t>
            </w:r>
          </w:p>
          <w:p w14:paraId="2CBE152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人在电子化交易系统中对电子卖场、框架协议采购数据进行查询统计分析。</w:t>
            </w:r>
          </w:p>
          <w:p w14:paraId="1284C56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不能查询则本项不得分。</w:t>
            </w:r>
          </w:p>
          <w:p w14:paraId="126D8A6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⑤电子化交易系统易用性评审评分</w:t>
            </w:r>
          </w:p>
          <w:p w14:paraId="5019B07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（满分 5 分）根据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人现场演示的电子化交易系统易用性情况进行评审评分： </w:t>
            </w:r>
          </w:p>
          <w:p w14:paraId="1553EDC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1）电子化交易系统界面简洁美观得 1 分； </w:t>
            </w:r>
          </w:p>
          <w:p w14:paraId="5C87A3E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2）电子化交易系统功能布局合理得 1 分；</w:t>
            </w:r>
          </w:p>
          <w:p w14:paraId="63C8155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3）电子化交易系统操作逻辑清晰得 1 分；</w:t>
            </w:r>
          </w:p>
          <w:p w14:paraId="75E4C10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4）电子化交易系统人机交互流畅得 1 分；</w:t>
            </w:r>
          </w:p>
          <w:p w14:paraId="12D3205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5）电子化交易系统提示信息准确得 1 分； </w:t>
            </w:r>
          </w:p>
          <w:p w14:paraId="1D89898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黑体" w:hAnsi="黑体" w:eastAsia="黑体" w:cs="黑体"/>
                <w:b/>
                <w:bCs/>
                <w:sz w:val="28"/>
                <w:szCs w:val="28"/>
                <w:lang w:val="en-US" w:eastAsia="zh-CN"/>
              </w:rPr>
              <w:t>现场演示要求如下：</w:t>
            </w:r>
            <w:r>
              <w:rPr>
                <w:rFonts w:hint="eastAsia" w:ascii="宋体" w:hAnsi="宋体" w:eastAsia="宋体" w:cs="宋体"/>
                <w:sz w:val="28"/>
                <w:szCs w:val="28"/>
                <w:lang w:val="en-US" w:eastAsia="zh-CN"/>
              </w:rPr>
              <w:t xml:space="preserve"> </w:t>
            </w:r>
          </w:p>
          <w:p w14:paraId="0B0F7BC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人需自行携带现场演示所需设备，在指定地点自行搭建演示环境，未进行现场演示或以 PPT、视频、功能截图方式进行现场演示的不得分； </w:t>
            </w:r>
          </w:p>
          <w:p w14:paraId="537EEA5C">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2.现场演示时间（含准备时间）</w:t>
            </w:r>
            <w:r>
              <w:rPr>
                <w:rFonts w:hint="eastAsia" w:ascii="宋体" w:hAnsi="宋体" w:cs="宋体"/>
                <w:sz w:val="28"/>
                <w:szCs w:val="28"/>
                <w:lang w:val="en-US" w:eastAsia="zh-CN"/>
              </w:rPr>
              <w:t>限时</w:t>
            </w: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0 分钟（不含</w:t>
            </w:r>
            <w:r>
              <w:rPr>
                <w:rFonts w:hint="eastAsia" w:ascii="宋体" w:hAnsi="宋体" w:cs="宋体"/>
                <w:sz w:val="28"/>
                <w:szCs w:val="28"/>
                <w:lang w:val="en-US" w:eastAsia="zh-CN"/>
              </w:rPr>
              <w:t>磋商小组成员</w:t>
            </w:r>
            <w:r>
              <w:rPr>
                <w:rFonts w:hint="eastAsia" w:ascii="宋体" w:hAnsi="宋体" w:eastAsia="宋体" w:cs="宋体"/>
                <w:sz w:val="28"/>
                <w:szCs w:val="28"/>
                <w:lang w:val="en-US" w:eastAsia="zh-CN"/>
              </w:rPr>
              <w:t>提问时间），超过现场演示时间的不再进行演示，未演示部分不得分</w:t>
            </w:r>
            <w:r>
              <w:rPr>
                <w:rFonts w:hint="eastAsia" w:ascii="宋体" w:hAnsi="宋体" w:cs="宋体"/>
                <w:sz w:val="28"/>
                <w:szCs w:val="28"/>
                <w:lang w:val="en-US" w:eastAsia="zh-CN"/>
              </w:rPr>
              <w:t>；3.</w:t>
            </w:r>
            <w:r>
              <w:rPr>
                <w:rFonts w:hint="eastAsia" w:ascii="宋体" w:hAnsi="宋体" w:cs="宋体"/>
                <w:color w:val="auto"/>
                <w:kern w:val="0"/>
                <w:sz w:val="28"/>
                <w:szCs w:val="28"/>
                <w:highlight w:val="none"/>
              </w:rPr>
              <w:t>具体功能演示部分所使用的平台及功能均需为真实、成熟、在用的案例，不得采用原型、PPT、视频、截图等形式。采用原型、PPT、视频、截图等形式</w:t>
            </w:r>
            <w:r>
              <w:rPr>
                <w:rFonts w:hint="eastAsia" w:ascii="宋体" w:hAnsi="宋体" w:cs="宋体"/>
                <w:color w:val="auto"/>
                <w:kern w:val="0"/>
                <w:sz w:val="28"/>
                <w:szCs w:val="28"/>
                <w:highlight w:val="none"/>
                <w:lang w:val="en-US" w:eastAsia="zh-CN"/>
              </w:rPr>
              <w:t>演示，则本项不得分</w:t>
            </w:r>
            <w:r>
              <w:rPr>
                <w:rFonts w:hint="eastAsia" w:ascii="宋体" w:hAnsi="宋体" w:eastAsia="宋体" w:cs="宋体"/>
                <w:sz w:val="28"/>
                <w:szCs w:val="28"/>
                <w:lang w:val="en-US" w:eastAsia="zh-CN"/>
              </w:rPr>
              <w:t>；</w:t>
            </w:r>
          </w:p>
          <w:p w14:paraId="78AEBCCA">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3.演示中★项，有一项达不到要求，技术分全部分为0分。</w:t>
            </w:r>
          </w:p>
        </w:tc>
      </w:tr>
      <w:tr w14:paraId="6C3CB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3F7071B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方正仿宋_GBK" w:hAnsi="方正仿宋_GBK" w:eastAsia="方正仿宋_GBK" w:cs="方正仿宋_GBK"/>
                <w:sz w:val="28"/>
                <w:szCs w:val="28"/>
                <w:vertAlign w:val="baseline"/>
                <w:lang w:val="en-US" w:eastAsia="zh-CN"/>
              </w:rPr>
            </w:pPr>
          </w:p>
        </w:tc>
        <w:tc>
          <w:tcPr>
            <w:tcW w:w="1637" w:type="dxa"/>
            <w:vAlign w:val="center"/>
          </w:tcPr>
          <w:p w14:paraId="5A34D193">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（2）团队人员配备 （满分 6分）</w:t>
            </w:r>
          </w:p>
        </w:tc>
        <w:tc>
          <w:tcPr>
            <w:tcW w:w="6174" w:type="dxa"/>
          </w:tcPr>
          <w:p w14:paraId="6CA7D6A1">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技术开发团队人员评审评分（满分6 分） </w:t>
            </w:r>
          </w:p>
          <w:p w14:paraId="6A458FF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人拟投入本项目的技术开发团队负责人具有高级计算机技术与软件专业技术资格（水平）证书得 2 分； </w:t>
            </w:r>
          </w:p>
          <w:p w14:paraId="76D9291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人拟投入本项目的技术开发团队人员中每配备一名具有中级及以上计算机技术与软件专业技术资格（水平）证书得 1 分，满分 4 分。 </w:t>
            </w:r>
          </w:p>
          <w:p w14:paraId="6A8D03D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b/>
                <w:bCs/>
                <w:sz w:val="28"/>
                <w:szCs w:val="28"/>
                <w:lang w:val="en-US" w:eastAsia="zh-CN"/>
              </w:rPr>
              <w:t>注：</w:t>
            </w:r>
            <w:r>
              <w:rPr>
                <w:rFonts w:hint="eastAsia" w:ascii="宋体" w:hAnsi="宋体" w:cs="宋体"/>
                <w:b/>
                <w:bCs/>
                <w:sz w:val="28"/>
                <w:szCs w:val="28"/>
                <w:lang w:val="en-US" w:eastAsia="zh-CN"/>
              </w:rPr>
              <w:t>磋商</w:t>
            </w:r>
            <w:r>
              <w:rPr>
                <w:rFonts w:hint="eastAsia" w:ascii="宋体" w:hAnsi="宋体" w:eastAsia="宋体" w:cs="宋体"/>
                <w:b/>
                <w:bCs/>
                <w:sz w:val="28"/>
                <w:szCs w:val="28"/>
                <w:lang w:val="en-US" w:eastAsia="zh-CN"/>
              </w:rPr>
              <w:t>文件中须提供《团队人员配备表》及团队人员资料（复印件加盖投标人公章），包括：身份 证、毕业证、专业技术职业资格（资质）证书（如 有）、人员社保缴纳证明（缴纳单位为投标人本单位），未提供团队人员资料或提供的团队人员资料不齐全的不得分。</w:t>
            </w:r>
          </w:p>
        </w:tc>
      </w:tr>
      <w:tr w14:paraId="57547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7ACCC9E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方正仿宋_GBK" w:hAnsi="方正仿宋_GBK" w:eastAsia="方正仿宋_GBK" w:cs="方正仿宋_GBK"/>
                <w:sz w:val="28"/>
                <w:szCs w:val="28"/>
                <w:vertAlign w:val="baseline"/>
                <w:lang w:val="en-US" w:eastAsia="zh-CN"/>
              </w:rPr>
            </w:pPr>
          </w:p>
        </w:tc>
        <w:tc>
          <w:tcPr>
            <w:tcW w:w="1637" w:type="dxa"/>
            <w:vAlign w:val="center"/>
          </w:tcPr>
          <w:p w14:paraId="646C004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（3）电子化交易系统对接方案（满分10分）</w:t>
            </w:r>
          </w:p>
        </w:tc>
        <w:tc>
          <w:tcPr>
            <w:tcW w:w="6174" w:type="dxa"/>
          </w:tcPr>
          <w:p w14:paraId="04AD421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 xml:space="preserve">根据磋商人提供的电子化交易系统对接方案进行评审（包括但不限于：电子化交易系统与云南省政府采购管理信息系统、电子卖场、框架协议、公共资源交易门禁系统、全省范围无差别远程异地评审的对接方案，方案内容应当涵盖对接人员安排、技术支持等）。 </w:t>
            </w:r>
          </w:p>
          <w:p w14:paraId="0CE9364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方案内容详细完整，安排合理、切实可行，且有说服力，符合本项目采购需求，计10分；</w:t>
            </w:r>
          </w:p>
          <w:p w14:paraId="7D463B1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对接方案不全面或不合理、可行性差、说服力差，每处扣2分，扣完为止；</w:t>
            </w:r>
          </w:p>
          <w:p w14:paraId="46272835">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lang w:val="en-US" w:eastAsia="zh-CN"/>
              </w:rPr>
            </w:pPr>
            <w:r>
              <w:rPr>
                <w:rFonts w:hint="eastAsia"/>
                <w:sz w:val="28"/>
                <w:szCs w:val="28"/>
                <w:lang w:val="en-US" w:eastAsia="zh-CN"/>
              </w:rPr>
              <w:t>方案内容存在缺项漏项或不能实现其中一项，则本项不得分；</w:t>
            </w:r>
          </w:p>
          <w:p w14:paraId="1E3765BA">
            <w:pPr>
              <w:pStyle w:val="98"/>
              <w:ind w:left="0" w:leftChars="0" w:firstLine="0" w:firstLineChars="0"/>
              <w:rPr>
                <w:rFonts w:hint="default"/>
                <w:lang w:val="en-US" w:eastAsia="zh-CN"/>
              </w:rPr>
            </w:pPr>
            <w:r>
              <w:rPr>
                <w:rFonts w:hint="eastAsia" w:ascii="宋体" w:hAnsi="宋体" w:eastAsia="宋体" w:cs="宋体"/>
                <w:sz w:val="28"/>
                <w:szCs w:val="28"/>
                <w:lang w:val="en-US" w:eastAsia="zh-CN"/>
              </w:rPr>
              <w:t>电子化交易系统与云南省政府采购管理信息系统、电子卖场</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框架协议</w:t>
            </w:r>
            <w:r>
              <w:rPr>
                <w:rFonts w:hint="eastAsia" w:ascii="宋体" w:hAnsi="宋体" w:cs="宋体"/>
                <w:sz w:val="28"/>
                <w:szCs w:val="28"/>
                <w:lang w:val="en-US" w:eastAsia="zh-CN"/>
              </w:rPr>
              <w:t>）</w:t>
            </w:r>
            <w:r>
              <w:rPr>
                <w:rFonts w:hint="eastAsia" w:ascii="宋体" w:hAnsi="宋体" w:eastAsia="宋体" w:cs="宋体"/>
                <w:sz w:val="28"/>
                <w:szCs w:val="28"/>
                <w:lang w:val="en-US" w:eastAsia="zh-CN"/>
              </w:rPr>
              <w:t>、</w:t>
            </w:r>
            <w:r>
              <w:rPr>
                <w:rFonts w:hint="eastAsia" w:ascii="宋体" w:hAnsi="宋体" w:eastAsia="宋体" w:cs="宋体"/>
                <w:b w:val="0"/>
                <w:bCs w:val="0"/>
                <w:sz w:val="28"/>
                <w:szCs w:val="28"/>
                <w:lang w:val="en-US" w:eastAsia="zh-CN"/>
              </w:rPr>
              <w:t>公共资源交易门禁系统</w:t>
            </w:r>
            <w:r>
              <w:rPr>
                <w:rFonts w:hint="eastAsia" w:ascii="宋体" w:hAnsi="宋体" w:cs="宋体"/>
                <w:b w:val="0"/>
                <w:bCs w:val="0"/>
                <w:sz w:val="28"/>
                <w:szCs w:val="28"/>
                <w:lang w:val="en-US" w:eastAsia="zh-CN"/>
              </w:rPr>
              <w:t>不能在1 个月内完成，本项不得分。</w:t>
            </w:r>
          </w:p>
        </w:tc>
      </w:tr>
      <w:tr w14:paraId="1B1E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30F0BBB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方正仿宋_GBK" w:hAnsi="方正仿宋_GBK" w:eastAsia="方正仿宋_GBK" w:cs="方正仿宋_GBK"/>
                <w:sz w:val="24"/>
                <w:szCs w:val="24"/>
                <w:lang w:val="en-US" w:eastAsia="zh-CN"/>
              </w:rPr>
            </w:pPr>
          </w:p>
        </w:tc>
        <w:tc>
          <w:tcPr>
            <w:tcW w:w="1637" w:type="dxa"/>
            <w:vAlign w:val="center"/>
          </w:tcPr>
          <w:p w14:paraId="7DB4AB5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（4）系统构架方案（</w:t>
            </w:r>
            <w:r>
              <w:rPr>
                <w:rFonts w:hint="eastAsia" w:ascii="宋体" w:hAnsi="宋体" w:cs="宋体"/>
                <w:sz w:val="28"/>
                <w:szCs w:val="28"/>
                <w:lang w:val="en-US" w:eastAsia="zh-CN"/>
              </w:rPr>
              <w:t>8</w:t>
            </w:r>
            <w:r>
              <w:rPr>
                <w:rFonts w:hint="eastAsia" w:ascii="宋体" w:hAnsi="宋体" w:eastAsia="宋体" w:cs="宋体"/>
                <w:sz w:val="28"/>
                <w:szCs w:val="28"/>
                <w:lang w:val="en-US" w:eastAsia="zh-CN"/>
              </w:rPr>
              <w:t>分）</w:t>
            </w:r>
          </w:p>
        </w:tc>
        <w:tc>
          <w:tcPr>
            <w:tcW w:w="6174" w:type="dxa"/>
          </w:tcPr>
          <w:p w14:paraId="668CBEC1">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人需根据采购需求提供电子化交易系统构架方案</w:t>
            </w:r>
            <w:r>
              <w:rPr>
                <w:rFonts w:hint="eastAsia" w:ascii="宋体" w:hAnsi="宋体" w:cs="宋体"/>
                <w:sz w:val="28"/>
                <w:szCs w:val="28"/>
                <w:lang w:val="en-US" w:eastAsia="zh-CN"/>
              </w:rPr>
              <w:t>，</w:t>
            </w:r>
            <w:r>
              <w:rPr>
                <w:rFonts w:hint="eastAsia" w:ascii="宋体" w:hAnsi="宋体" w:cs="宋体"/>
                <w:color w:val="auto"/>
                <w:kern w:val="0"/>
                <w:sz w:val="28"/>
                <w:szCs w:val="28"/>
                <w:highlight w:val="none"/>
              </w:rPr>
              <w:t>内容包括但不限于需求分析、系统部署、技术路线、平台架构、业务流程等维度。总体方案成熟度高、可行性强、需求分析完善、架构部署合理、技术路线先进、业务流程清晰，能够良好实现项目目标的，</w:t>
            </w:r>
            <w:r>
              <w:rPr>
                <w:rFonts w:hint="eastAsia" w:ascii="宋体" w:hAnsi="宋体" w:cs="宋体"/>
                <w:color w:val="auto"/>
                <w:kern w:val="0"/>
                <w:sz w:val="28"/>
                <w:szCs w:val="28"/>
                <w:highlight w:val="none"/>
                <w:lang w:val="en-US" w:eastAsia="zh-CN"/>
              </w:rPr>
              <w:t>实现在一个月内部署上线。</w:t>
            </w:r>
          </w:p>
          <w:p w14:paraId="465CC2D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构架方案内容详细完整，安排合理、切实可行，符合本项目采购需求，计</w:t>
            </w:r>
            <w:r>
              <w:rPr>
                <w:rFonts w:hint="eastAsia" w:ascii="宋体" w:hAnsi="宋体" w:cs="宋体"/>
                <w:sz w:val="28"/>
                <w:szCs w:val="28"/>
                <w:lang w:val="en-US" w:eastAsia="zh-CN"/>
              </w:rPr>
              <w:t>8</w:t>
            </w:r>
            <w:r>
              <w:rPr>
                <w:rFonts w:hint="eastAsia" w:ascii="宋体" w:hAnsi="宋体" w:eastAsia="宋体" w:cs="宋体"/>
                <w:sz w:val="28"/>
                <w:szCs w:val="28"/>
                <w:lang w:val="en-US" w:eastAsia="zh-CN"/>
              </w:rPr>
              <w:t>分；方案内容存在缺项漏项，不全面或不合理的，每处扣1分，扣完为止</w:t>
            </w:r>
            <w:r>
              <w:rPr>
                <w:rFonts w:hint="eastAsia" w:ascii="宋体" w:hAnsi="宋体" w:cs="宋体"/>
                <w:sz w:val="28"/>
                <w:szCs w:val="28"/>
                <w:lang w:val="en-US" w:eastAsia="zh-CN"/>
              </w:rPr>
              <w:t>；不能</w:t>
            </w:r>
            <w:r>
              <w:rPr>
                <w:rFonts w:hint="eastAsia" w:ascii="宋体" w:hAnsi="宋体" w:cs="宋体"/>
                <w:color w:val="auto"/>
                <w:kern w:val="0"/>
                <w:sz w:val="28"/>
                <w:szCs w:val="28"/>
                <w:highlight w:val="none"/>
                <w:lang w:val="en-US" w:eastAsia="zh-CN"/>
              </w:rPr>
              <w:t>实现在一个月内部署上线，本项不得分。</w:t>
            </w:r>
          </w:p>
        </w:tc>
      </w:tr>
      <w:tr w14:paraId="791D6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78AE0A46">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方正仿宋_GBK" w:hAnsi="方正仿宋_GBK" w:eastAsia="方正仿宋_GBK" w:cs="方正仿宋_GBK"/>
                <w:sz w:val="24"/>
                <w:szCs w:val="24"/>
                <w:lang w:val="en-US" w:eastAsia="zh-CN"/>
              </w:rPr>
            </w:pPr>
          </w:p>
        </w:tc>
        <w:tc>
          <w:tcPr>
            <w:tcW w:w="1637" w:type="dxa"/>
            <w:vAlign w:val="center"/>
          </w:tcPr>
          <w:p w14:paraId="0C7E79F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 xml:space="preserve">）系统安全保障能力及措施 （满分 </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 xml:space="preserve"> 分）</w:t>
            </w:r>
          </w:p>
        </w:tc>
        <w:tc>
          <w:tcPr>
            <w:tcW w:w="6174" w:type="dxa"/>
          </w:tcPr>
          <w:p w14:paraId="17A5CD28">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人的系统安全保障能力及措施进行评审（包括但不限于：安全防护措施、安全架构和机制、 商用密码运用、用户隐私保护、实时监测、发现、处理功能、数据信息保护及处理、突发应急问题紧急处理机制）。 </w:t>
            </w:r>
          </w:p>
          <w:p w14:paraId="03FACE2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内容详细完整，安排合理、切实可行，符合本项目采购需求的，计</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 xml:space="preserve"> 分；方案内容存在缺项漏项，不全面或不合理的，每处扣 1 分，扣完为止。</w:t>
            </w:r>
          </w:p>
          <w:p w14:paraId="2A4F68EA">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②系统建设符合信息系统安全三级等保要求，</w:t>
            </w:r>
            <w:r>
              <w:rPr>
                <w:rFonts w:hint="eastAsia" w:ascii="宋体" w:hAnsi="宋体" w:cs="宋体"/>
                <w:sz w:val="28"/>
                <w:szCs w:val="28"/>
                <w:lang w:val="en-US" w:eastAsia="zh-CN"/>
              </w:rPr>
              <w:t>并</w:t>
            </w:r>
            <w:r>
              <w:rPr>
                <w:rFonts w:hint="eastAsia" w:ascii="宋体" w:hAnsi="宋体" w:eastAsia="宋体" w:cs="宋体"/>
                <w:sz w:val="28"/>
                <w:szCs w:val="28"/>
                <w:lang w:val="en-US" w:eastAsia="zh-CN"/>
              </w:rPr>
              <w:t>提供书面承诺得 2 分。</w:t>
            </w:r>
          </w:p>
        </w:tc>
      </w:tr>
      <w:tr w14:paraId="49AB5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690" w:type="dxa"/>
            <w:vAlign w:val="center"/>
          </w:tcPr>
          <w:p w14:paraId="0F0F169E">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商务部分分F3 （满分 2</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分）</w:t>
            </w:r>
          </w:p>
        </w:tc>
        <w:tc>
          <w:tcPr>
            <w:tcW w:w="1637" w:type="dxa"/>
            <w:vAlign w:val="center"/>
          </w:tcPr>
          <w:p w14:paraId="0E2F5874">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（1）时间进度计划安排（满分5分）</w:t>
            </w:r>
          </w:p>
        </w:tc>
        <w:tc>
          <w:tcPr>
            <w:tcW w:w="6174" w:type="dxa"/>
          </w:tcPr>
          <w:p w14:paraId="25DBA78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人的时间进度计划安排进行评审（包括但不限于：时间进度计划表、时间进度计划保障措施）。</w:t>
            </w:r>
          </w:p>
          <w:p w14:paraId="60E37E8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内容详细完整，安排合理、切实可行，符合本项目采购需求的，计5分；方案内容存在缺项漏项，不全面或不合理的，每处扣 1 分，扣完为止</w:t>
            </w:r>
            <w:r>
              <w:rPr>
                <w:rFonts w:hint="eastAsia" w:ascii="宋体" w:hAnsi="宋体" w:cs="宋体"/>
                <w:sz w:val="28"/>
                <w:szCs w:val="28"/>
                <w:lang w:val="en-US" w:eastAsia="zh-CN"/>
              </w:rPr>
              <w:t>。</w:t>
            </w:r>
          </w:p>
        </w:tc>
      </w:tr>
      <w:tr w14:paraId="07AA3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1E151BEA">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p>
        </w:tc>
        <w:tc>
          <w:tcPr>
            <w:tcW w:w="1637" w:type="dxa"/>
            <w:vAlign w:val="center"/>
          </w:tcPr>
          <w:p w14:paraId="2E929F05">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（2）培训方案（满 分 5分）</w:t>
            </w:r>
          </w:p>
        </w:tc>
        <w:tc>
          <w:tcPr>
            <w:tcW w:w="6174" w:type="dxa"/>
          </w:tcPr>
          <w:p w14:paraId="335A560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人提供的培训方案进行评审（包括但不限于：培训方式、培训计划、培训内容、培训课件）。 内容详细完整，安排合理、切实可行，符合本项目采 购需求的，计 5分；方案内容存在缺项漏项不全面或不合理的，每处扣1分，扣完为止。</w:t>
            </w:r>
          </w:p>
        </w:tc>
      </w:tr>
      <w:tr w14:paraId="5FFE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3ECCED65">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p>
        </w:tc>
        <w:tc>
          <w:tcPr>
            <w:tcW w:w="1637" w:type="dxa"/>
            <w:vAlign w:val="center"/>
          </w:tcPr>
          <w:p w14:paraId="0FEF0842">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（3）类似项目业绩（满分 10分）</w:t>
            </w:r>
          </w:p>
        </w:tc>
        <w:tc>
          <w:tcPr>
            <w:tcW w:w="6174" w:type="dxa"/>
          </w:tcPr>
          <w:p w14:paraId="638B8160">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人自本项目</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文件提交截止时间前已完成或正在实施过程中的类似项目业绩进行评价打分。</w:t>
            </w:r>
          </w:p>
          <w:p w14:paraId="1D0BBD77">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人每提供一个市级及以上政府采购类电子化交易系统建设项目业绩得2分</w:t>
            </w:r>
            <w:r>
              <w:rPr>
                <w:rFonts w:hint="eastAsia" w:ascii="宋体" w:hAnsi="宋体" w:eastAsia="宋体" w:cs="宋体"/>
                <w:b w:val="0"/>
                <w:bCs w:val="0"/>
                <w:sz w:val="28"/>
                <w:szCs w:val="28"/>
                <w:lang w:val="en-US" w:eastAsia="zh-CN"/>
              </w:rPr>
              <w:t xml:space="preserve">，满分4分。 </w:t>
            </w:r>
          </w:p>
          <w:p w14:paraId="4BF51A2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人每提供一个政府采购电子化交易系统与政府采购管理系统对接成功案例得1分，满分3分.</w:t>
            </w:r>
          </w:p>
          <w:p w14:paraId="128BB86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 xml:space="preserve">人每提供一个政府采购电子化交易系统与电子卖场对接成功案例得1分，满分3分。 </w:t>
            </w:r>
          </w:p>
          <w:p w14:paraId="09C5604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r>
              <w:rPr>
                <w:rFonts w:hint="eastAsia" w:ascii="宋体" w:hAnsi="宋体" w:eastAsia="宋体" w:cs="宋体"/>
                <w:b/>
                <w:bCs/>
                <w:sz w:val="28"/>
                <w:szCs w:val="28"/>
                <w:lang w:val="en-US" w:eastAsia="zh-CN"/>
              </w:rPr>
              <w:t>注：</w:t>
            </w:r>
            <w:r>
              <w:rPr>
                <w:rFonts w:hint="eastAsia" w:ascii="宋体" w:hAnsi="宋体" w:cs="宋体"/>
                <w:b/>
                <w:bCs/>
                <w:sz w:val="28"/>
                <w:szCs w:val="28"/>
                <w:lang w:val="en-US" w:eastAsia="zh-CN"/>
              </w:rPr>
              <w:t>磋商</w:t>
            </w:r>
            <w:r>
              <w:rPr>
                <w:rFonts w:hint="eastAsia" w:ascii="宋体" w:hAnsi="宋体" w:eastAsia="宋体" w:cs="宋体"/>
                <w:b/>
                <w:bCs/>
                <w:sz w:val="28"/>
                <w:szCs w:val="28"/>
                <w:lang w:val="en-US" w:eastAsia="zh-CN"/>
              </w:rPr>
              <w:t>文件中须提供类似项目业绩列表及相对应的类似项目业绩证明材料（复印件加盖</w:t>
            </w:r>
            <w:r>
              <w:rPr>
                <w:rFonts w:hint="eastAsia" w:ascii="宋体" w:hAnsi="宋体" w:cs="宋体"/>
                <w:b/>
                <w:bCs/>
                <w:sz w:val="28"/>
                <w:szCs w:val="28"/>
                <w:lang w:val="en-US" w:eastAsia="zh-CN"/>
              </w:rPr>
              <w:t>磋商</w:t>
            </w:r>
            <w:r>
              <w:rPr>
                <w:rFonts w:hint="eastAsia" w:ascii="宋体" w:hAnsi="宋体" w:eastAsia="宋体" w:cs="宋体"/>
                <w:b/>
                <w:bCs/>
                <w:sz w:val="28"/>
                <w:szCs w:val="28"/>
                <w:lang w:val="en-US" w:eastAsia="zh-CN"/>
              </w:rPr>
              <w:t>人公章），类似项目业绩证明材料为中标（成交）通知书或</w:t>
            </w:r>
            <w:r>
              <w:rPr>
                <w:rFonts w:hint="eastAsia" w:ascii="宋体" w:hAnsi="宋体" w:cs="宋体"/>
                <w:b/>
                <w:bCs/>
                <w:sz w:val="28"/>
                <w:szCs w:val="28"/>
                <w:lang w:val="en-US" w:eastAsia="zh-CN"/>
              </w:rPr>
              <w:t>磋商</w:t>
            </w:r>
            <w:r>
              <w:rPr>
                <w:rFonts w:hint="eastAsia" w:ascii="宋体" w:hAnsi="宋体" w:eastAsia="宋体" w:cs="宋体"/>
                <w:b/>
                <w:bCs/>
                <w:sz w:val="28"/>
                <w:szCs w:val="28"/>
                <w:lang w:val="en-US" w:eastAsia="zh-CN"/>
              </w:rPr>
              <w:t>人与用户单位签订的合同（须包含合同首页、标的所在页及合同签字盖章页），无证明材料或证明材料不明确、无法体现业绩内容的，不得分。</w:t>
            </w:r>
          </w:p>
        </w:tc>
      </w:tr>
      <w:tr w14:paraId="5F03E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0" w:type="dxa"/>
          </w:tcPr>
          <w:p w14:paraId="6115CD0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28"/>
                <w:szCs w:val="28"/>
                <w:vertAlign w:val="baseline"/>
                <w:lang w:val="en-US" w:eastAsia="zh-CN"/>
              </w:rPr>
            </w:pPr>
          </w:p>
        </w:tc>
        <w:tc>
          <w:tcPr>
            <w:tcW w:w="1637" w:type="dxa"/>
            <w:vAlign w:val="center"/>
          </w:tcPr>
          <w:p w14:paraId="075E2BBB">
            <w:pPr>
              <w:widowControl/>
              <w:jc w:val="center"/>
              <w:rPr>
                <w:rFonts w:hint="default" w:ascii="宋体" w:hAnsi="宋体" w:eastAsia="宋体" w:cs="宋体"/>
                <w:sz w:val="28"/>
                <w:szCs w:val="28"/>
                <w:lang w:val="en-US" w:eastAsia="zh-CN"/>
              </w:rPr>
            </w:pPr>
            <w:r>
              <w:rPr>
                <w:rFonts w:hint="eastAsia" w:ascii="宋体" w:hAnsi="宋体" w:cs="宋体"/>
                <w:color w:val="auto"/>
                <w:kern w:val="0"/>
                <w:sz w:val="28"/>
                <w:szCs w:val="28"/>
                <w:highlight w:val="none"/>
              </w:rPr>
              <w:t>运维保障方案</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lang w:val="en-US" w:eastAsia="zh-CN"/>
              </w:rPr>
              <w:t>满分5分</w:t>
            </w:r>
          </w:p>
        </w:tc>
        <w:tc>
          <w:tcPr>
            <w:tcW w:w="6174" w:type="dxa"/>
            <w:vAlign w:val="center"/>
          </w:tcPr>
          <w:p w14:paraId="12D2FDF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cs="宋体"/>
                <w:color w:val="auto"/>
                <w:kern w:val="0"/>
                <w:sz w:val="28"/>
                <w:szCs w:val="28"/>
                <w:highlight w:val="none"/>
              </w:rPr>
            </w:pPr>
            <w:r>
              <w:rPr>
                <w:rFonts w:hint="eastAsia" w:ascii="宋体" w:hAnsi="宋体" w:cs="宋体"/>
                <w:sz w:val="28"/>
                <w:szCs w:val="28"/>
                <w:lang w:val="en-US" w:eastAsia="zh-CN"/>
              </w:rPr>
              <w:t>磋商</w:t>
            </w:r>
            <w:r>
              <w:rPr>
                <w:rFonts w:hint="eastAsia" w:ascii="宋体" w:hAnsi="宋体" w:eastAsia="宋体" w:cs="宋体"/>
                <w:sz w:val="28"/>
                <w:szCs w:val="28"/>
                <w:lang w:val="en-US" w:eastAsia="zh-CN"/>
              </w:rPr>
              <w:t>人</w:t>
            </w:r>
            <w:r>
              <w:rPr>
                <w:rFonts w:hint="eastAsia" w:ascii="宋体" w:hAnsi="宋体" w:cs="宋体"/>
                <w:sz w:val="28"/>
                <w:szCs w:val="28"/>
                <w:lang w:val="en-US" w:eastAsia="zh-CN"/>
              </w:rPr>
              <w:t>须</w:t>
            </w:r>
            <w:r>
              <w:rPr>
                <w:rFonts w:hint="eastAsia" w:ascii="宋体" w:hAnsi="宋体" w:cs="宋体"/>
                <w:color w:val="auto"/>
                <w:kern w:val="0"/>
                <w:sz w:val="28"/>
                <w:szCs w:val="28"/>
                <w:highlight w:val="none"/>
              </w:rPr>
              <w:t>提供针对本项目的运维保障方案，内容包括但不限于运维内容、运维流程、运维响应时间、应急处理预案等。</w:t>
            </w:r>
            <w:r>
              <w:rPr>
                <w:rFonts w:hint="eastAsia" w:ascii="宋体" w:hAnsi="宋体" w:eastAsia="宋体" w:cs="宋体"/>
                <w:sz w:val="28"/>
                <w:szCs w:val="28"/>
                <w:lang w:val="en-US" w:eastAsia="zh-CN"/>
              </w:rPr>
              <w:t>满分</w:t>
            </w:r>
            <w:r>
              <w:rPr>
                <w:rFonts w:hint="eastAsia" w:ascii="宋体" w:hAnsi="宋体" w:cs="宋体"/>
                <w:sz w:val="28"/>
                <w:szCs w:val="28"/>
                <w:lang w:val="en-US" w:eastAsia="zh-CN"/>
              </w:rPr>
              <w:t>5</w:t>
            </w:r>
            <w:r>
              <w:rPr>
                <w:rFonts w:hint="eastAsia" w:ascii="宋体" w:hAnsi="宋体" w:eastAsia="宋体" w:cs="宋体"/>
                <w:sz w:val="28"/>
                <w:szCs w:val="28"/>
                <w:lang w:val="en-US" w:eastAsia="zh-CN"/>
              </w:rPr>
              <w:t xml:space="preserve">分。 </w:t>
            </w:r>
          </w:p>
          <w:p w14:paraId="003E9C15">
            <w:pPr>
              <w:widowControl/>
              <w:jc w:val="left"/>
              <w:rPr>
                <w:rFonts w:hint="default" w:ascii="宋体" w:hAnsi="宋体" w:eastAsia="宋体" w:cs="宋体"/>
                <w:b/>
                <w:bCs/>
                <w:sz w:val="28"/>
                <w:szCs w:val="28"/>
                <w:lang w:val="en-US" w:eastAsia="zh-CN"/>
              </w:rPr>
            </w:pPr>
            <w:r>
              <w:rPr>
                <w:rFonts w:hint="eastAsia" w:ascii="宋体" w:hAnsi="宋体" w:cs="宋体"/>
                <w:color w:val="auto"/>
                <w:kern w:val="0"/>
                <w:sz w:val="28"/>
                <w:szCs w:val="28"/>
                <w:highlight w:val="none"/>
              </w:rPr>
              <w:t>根据方案是否完善细致、保障是否科学全面</w:t>
            </w:r>
            <w:r>
              <w:rPr>
                <w:rFonts w:hint="eastAsia" w:ascii="宋体" w:hAnsi="宋体" w:cs="宋体"/>
                <w:color w:val="auto"/>
                <w:kern w:val="0"/>
                <w:sz w:val="28"/>
                <w:szCs w:val="28"/>
                <w:highlight w:val="none"/>
                <w:lang w:eastAsia="zh-CN"/>
              </w:rPr>
              <w:t>，</w:t>
            </w:r>
            <w:r>
              <w:rPr>
                <w:rFonts w:hint="eastAsia" w:ascii="宋体" w:hAnsi="宋体" w:cs="宋体"/>
                <w:color w:val="auto"/>
                <w:kern w:val="0"/>
                <w:sz w:val="28"/>
                <w:szCs w:val="28"/>
                <w:highlight w:val="none"/>
              </w:rPr>
              <w:t>运维内容、运维流程、运维响应时间、应急处理预案</w:t>
            </w:r>
            <w:r>
              <w:rPr>
                <w:rFonts w:hint="eastAsia" w:ascii="宋体" w:hAnsi="宋体" w:cs="宋体"/>
                <w:color w:val="auto"/>
                <w:kern w:val="0"/>
                <w:sz w:val="28"/>
                <w:szCs w:val="28"/>
                <w:highlight w:val="none"/>
                <w:lang w:val="en-US" w:eastAsia="zh-CN"/>
              </w:rPr>
              <w:t>安排是否可行进行评分，满分3分；</w:t>
            </w:r>
            <w:r>
              <w:rPr>
                <w:rFonts w:hint="eastAsia" w:ascii="宋体" w:hAnsi="宋体" w:cs="宋体"/>
                <w:color w:val="auto"/>
                <w:kern w:val="0"/>
                <w:sz w:val="28"/>
                <w:szCs w:val="28"/>
                <w:highlight w:val="none"/>
              </w:rPr>
              <w:t>运维内容、运维流程、运维响应时间、应急处理预案</w:t>
            </w:r>
            <w:r>
              <w:rPr>
                <w:rFonts w:hint="eastAsia" w:ascii="宋体" w:hAnsi="宋体" w:cs="宋体"/>
                <w:color w:val="auto"/>
                <w:kern w:val="0"/>
                <w:sz w:val="28"/>
                <w:szCs w:val="28"/>
                <w:highlight w:val="none"/>
                <w:lang w:val="en-US" w:eastAsia="zh-CN"/>
              </w:rPr>
              <w:t>不合理或不可行，每处扣1分，扣完为止。</w:t>
            </w:r>
          </w:p>
        </w:tc>
      </w:tr>
    </w:tbl>
    <w:p w14:paraId="1D55DEA6">
      <w:pPr>
        <w:pStyle w:val="21"/>
        <w:outlineLvl w:val="1"/>
        <w:rPr>
          <w:rFonts w:hint="eastAsia" w:ascii="宋体" w:hAnsi="宋体" w:eastAsia="宋体" w:cs="宋体"/>
          <w:b/>
          <w:sz w:val="28"/>
          <w:szCs w:val="28"/>
        </w:rPr>
      </w:pPr>
      <w:bookmarkStart w:id="47" w:name="_Toc9309"/>
      <w:bookmarkStart w:id="48" w:name="_Toc14800"/>
    </w:p>
    <w:p w14:paraId="12971519">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三、授予合同</w:t>
      </w:r>
      <w:bookmarkEnd w:id="47"/>
      <w:bookmarkEnd w:id="48"/>
    </w:p>
    <w:p w14:paraId="6D4AFCF4">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1、成交通知书</w:t>
      </w:r>
    </w:p>
    <w:p w14:paraId="50D74549">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1</w:t>
      </w:r>
      <w:r>
        <w:rPr>
          <w:rFonts w:hint="eastAsia"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成交后将由</w:t>
      </w:r>
      <w:r>
        <w:rPr>
          <w:rFonts w:hint="default" w:ascii="Times New Roman" w:hAnsi="Times New Roman" w:eastAsia="方正仿宋_GBK" w:cs="Times New Roman"/>
          <w:b w:val="0"/>
          <w:bCs/>
          <w:sz w:val="32"/>
          <w:szCs w:val="32"/>
          <w:lang w:eastAsia="zh-CN"/>
        </w:rPr>
        <w:t>曲靖市财政局</w:t>
      </w:r>
      <w:r>
        <w:rPr>
          <w:rFonts w:hint="default" w:ascii="Times New Roman" w:hAnsi="Times New Roman" w:eastAsia="方正仿宋_GBK" w:cs="Times New Roman"/>
          <w:b w:val="0"/>
          <w:bCs/>
          <w:sz w:val="32"/>
          <w:szCs w:val="32"/>
        </w:rPr>
        <w:t>根据评审结果签发《成交通知书》，据此签订</w:t>
      </w:r>
      <w:r>
        <w:rPr>
          <w:rFonts w:hint="default" w:ascii="Times New Roman" w:hAnsi="Times New Roman" w:eastAsia="方正仿宋_GBK" w:cs="Times New Roman"/>
          <w:b w:val="0"/>
          <w:bCs/>
          <w:sz w:val="32"/>
          <w:szCs w:val="32"/>
          <w:lang w:val="en-US" w:eastAsia="zh-CN"/>
        </w:rPr>
        <w:t>合同</w:t>
      </w:r>
      <w:r>
        <w:rPr>
          <w:rFonts w:hint="default" w:ascii="Times New Roman" w:hAnsi="Times New Roman" w:eastAsia="方正仿宋_GBK" w:cs="Times New Roman"/>
          <w:b w:val="0"/>
          <w:bCs/>
          <w:sz w:val="32"/>
          <w:szCs w:val="32"/>
        </w:rPr>
        <w:t xml:space="preserve">； </w:t>
      </w:r>
    </w:p>
    <w:p w14:paraId="6B1B4FCB">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2</w:t>
      </w:r>
      <w:r>
        <w:rPr>
          <w:rFonts w:hint="eastAsia"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《成交通知书》是签订合同的依据，具有法律效力。</w:t>
      </w:r>
    </w:p>
    <w:p w14:paraId="15167BC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rPr>
        <w:t>、签订合同</w:t>
      </w:r>
    </w:p>
    <w:p w14:paraId="25057A6E">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1</w:t>
      </w:r>
      <w:r>
        <w:rPr>
          <w:rFonts w:hint="eastAsia"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成交人在《成交通知书》发出后30日内按《成交通知书》规定与采购人签订合同；</w:t>
      </w:r>
    </w:p>
    <w:p w14:paraId="6AFE9902">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eastAsia"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2</w:t>
      </w:r>
      <w:r>
        <w:rPr>
          <w:rFonts w:hint="eastAsia"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响应文件及其补充文件、澄清，均为合同内容的依据。</w:t>
      </w:r>
    </w:p>
    <w:p w14:paraId="2167CDD9">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lang w:val="en-US" w:eastAsia="zh-CN"/>
        </w:rPr>
      </w:pPr>
      <w:bookmarkStart w:id="49" w:name="_Toc29960"/>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、履约保证金</w:t>
      </w:r>
      <w:bookmarkEnd w:id="49"/>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免收。</w:t>
      </w:r>
    </w:p>
    <w:p w14:paraId="709F2D1D">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、货物验收：由使用单位负责验收，并出具《验收报告》。</w:t>
      </w:r>
    </w:p>
    <w:p w14:paraId="637F9A4C">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rPr>
        <w:t>、付款条件：合同所载货物验收合格后，采购人</w:t>
      </w:r>
      <w:r>
        <w:rPr>
          <w:rFonts w:hint="default" w:ascii="Times New Roman" w:hAnsi="Times New Roman" w:eastAsia="方正仿宋_GBK" w:cs="Times New Roman"/>
          <w:b w:val="0"/>
          <w:bCs/>
          <w:color w:val="000000"/>
          <w:sz w:val="32"/>
          <w:szCs w:val="32"/>
        </w:rPr>
        <w:t>按合同约定</w:t>
      </w:r>
      <w:r>
        <w:rPr>
          <w:rFonts w:hint="default" w:ascii="Times New Roman" w:hAnsi="Times New Roman" w:eastAsia="方正仿宋_GBK" w:cs="Times New Roman"/>
          <w:b w:val="0"/>
          <w:bCs/>
          <w:sz w:val="32"/>
          <w:szCs w:val="32"/>
        </w:rPr>
        <w:t>支付货款。</w:t>
      </w:r>
    </w:p>
    <w:p w14:paraId="50A497B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rPr>
        <w:t>、法律责任</w:t>
      </w:r>
    </w:p>
    <w:p w14:paraId="5C9A1BC4">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b w:val="0"/>
          <w:bCs/>
          <w:sz w:val="32"/>
          <w:szCs w:val="32"/>
          <w:lang w:val="en-US" w:eastAsia="zh-CN"/>
        </w:rPr>
        <w:sectPr>
          <w:pgSz w:w="11906" w:h="16838"/>
          <w:pgMar w:top="1134" w:right="1134" w:bottom="1134" w:left="1134" w:header="1020" w:footer="567" w:gutter="0"/>
          <w:cols w:space="720" w:num="1"/>
          <w:titlePg/>
          <w:docGrid w:linePitch="312" w:charSpace="0"/>
        </w:sectPr>
      </w:pPr>
      <w:r>
        <w:rPr>
          <w:rFonts w:hint="default" w:ascii="Times New Roman" w:hAnsi="Times New Roman" w:eastAsia="方正仿宋_GBK" w:cs="Times New Roman"/>
          <w:b w:val="0"/>
          <w:bCs/>
          <w:sz w:val="32"/>
          <w:szCs w:val="32"/>
        </w:rPr>
        <w:t>合同依法成立后，当事人必须全面履行合同规定的义务，保证合同顺利执行。成交人不得向他人转让成交项目，也不得将成交项目分解后向他人转让。履行合同过程中出现纠纷的，按《中华人民共和国</w:t>
      </w:r>
      <w:r>
        <w:rPr>
          <w:rFonts w:hint="default" w:ascii="Times New Roman" w:hAnsi="Times New Roman" w:eastAsia="方正仿宋_GBK" w:cs="Times New Roman"/>
          <w:b w:val="0"/>
          <w:bCs/>
          <w:sz w:val="32"/>
          <w:szCs w:val="32"/>
          <w:lang w:val="en-US" w:eastAsia="zh-CN"/>
        </w:rPr>
        <w:t>民法典</w:t>
      </w:r>
      <w:r>
        <w:rPr>
          <w:rFonts w:hint="default" w:ascii="Times New Roman" w:hAnsi="Times New Roman" w:eastAsia="方正仿宋_GBK" w:cs="Times New Roman"/>
          <w:b w:val="0"/>
          <w:bCs/>
          <w:sz w:val="32"/>
          <w:szCs w:val="32"/>
        </w:rPr>
        <w:t>》的规定处</w:t>
      </w:r>
      <w:r>
        <w:rPr>
          <w:rFonts w:hint="eastAsia" w:ascii="Times New Roman" w:hAnsi="Times New Roman" w:eastAsia="方正仿宋_GBK" w:cs="Times New Roman"/>
          <w:b w:val="0"/>
          <w:bCs/>
          <w:sz w:val="32"/>
          <w:szCs w:val="32"/>
          <w:lang w:val="en-US" w:eastAsia="zh-CN"/>
        </w:rPr>
        <w:t>理。</w:t>
      </w:r>
    </w:p>
    <w:p w14:paraId="4B33D8D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sz w:val="32"/>
          <w:szCs w:val="32"/>
          <w:lang w:val="en-US" w:eastAsia="zh-CN"/>
        </w:rPr>
      </w:pPr>
    </w:p>
    <w:p w14:paraId="1CE13EFD">
      <w:pPr>
        <w:snapToGrid w:val="0"/>
        <w:spacing w:line="320" w:lineRule="exact"/>
        <w:rPr>
          <w:rFonts w:hint="eastAsia" w:ascii="仿宋" w:hAnsi="仿宋" w:eastAsia="仿宋" w:cs="仿宋"/>
          <w:color w:val="000000"/>
          <w:sz w:val="24"/>
          <w:szCs w:val="24"/>
          <w:lang w:val="en-US" w:eastAsia="zh-CN"/>
        </w:rPr>
      </w:pPr>
      <w:bookmarkStart w:id="50" w:name="_Toc23529"/>
      <w:bookmarkStart w:id="51" w:name="_Toc591"/>
      <w:bookmarkStart w:id="52" w:name="_Toc16915"/>
      <w:bookmarkStart w:id="53" w:name="_Toc9999"/>
      <w:bookmarkStart w:id="54" w:name="_Toc8300"/>
    </w:p>
    <w:bookmarkEnd w:id="50"/>
    <w:bookmarkEnd w:id="51"/>
    <w:bookmarkEnd w:id="52"/>
    <w:bookmarkEnd w:id="53"/>
    <w:bookmarkEnd w:id="54"/>
    <w:p w14:paraId="0249B556">
      <w:pPr>
        <w:pStyle w:val="21"/>
        <w:keepNext w:val="0"/>
        <w:keepLines w:val="0"/>
        <w:pageBreakBefore w:val="0"/>
        <w:widowControl w:val="0"/>
        <w:numPr>
          <w:ilvl w:val="0"/>
          <w:numId w:val="0"/>
        </w:numPr>
        <w:tabs>
          <w:tab w:val="left" w:pos="1261"/>
          <w:tab w:val="center" w:pos="4995"/>
        </w:tabs>
        <w:kinsoku/>
        <w:wordWrap/>
        <w:overflowPunct/>
        <w:topLinePunct w:val="0"/>
        <w:autoSpaceDE/>
        <w:autoSpaceDN/>
        <w:bidi w:val="0"/>
        <w:adjustRightInd/>
        <w:snapToGrid/>
        <w:spacing w:line="720" w:lineRule="exact"/>
        <w:ind w:leftChars="0"/>
        <w:jc w:val="center"/>
        <w:textAlignment w:val="auto"/>
        <w:outlineLvl w:val="0"/>
        <w:rPr>
          <w:rFonts w:hint="default" w:ascii="方正小标宋_GBK" w:hAnsi="方正小标宋_GBK" w:eastAsia="方正小标宋_GBK" w:cs="方正小标宋_GBK"/>
          <w:b w:val="0"/>
          <w:bCs/>
          <w:sz w:val="44"/>
          <w:szCs w:val="44"/>
          <w:lang w:val="en-US"/>
        </w:rPr>
      </w:pPr>
      <w:bookmarkStart w:id="55" w:name="_Toc16933"/>
      <w:bookmarkStart w:id="56" w:name="_Toc24769"/>
      <w:bookmarkStart w:id="57" w:name="_Toc1405"/>
      <w:r>
        <w:rPr>
          <w:rFonts w:hint="eastAsia" w:ascii="方正小标宋_GBK" w:hAnsi="方正小标宋_GBK" w:eastAsia="方正小标宋_GBK" w:cs="方正小标宋_GBK"/>
          <w:b w:val="0"/>
          <w:bCs/>
          <w:sz w:val="44"/>
          <w:szCs w:val="44"/>
          <w:lang w:val="en-US" w:eastAsia="zh-CN"/>
        </w:rPr>
        <w:t>第四章 曲靖政府采购电子交易系统项目</w:t>
      </w:r>
      <w:bookmarkEnd w:id="55"/>
      <w:bookmarkEnd w:id="56"/>
      <w:r>
        <w:rPr>
          <w:rFonts w:hint="eastAsia" w:ascii="方正小标宋_GBK" w:hAnsi="方正小标宋_GBK" w:eastAsia="方正小标宋_GBK" w:cs="方正小标宋_GBK"/>
          <w:b w:val="0"/>
          <w:bCs/>
          <w:sz w:val="44"/>
          <w:szCs w:val="44"/>
          <w:lang w:val="en-US" w:eastAsia="zh-CN"/>
        </w:rPr>
        <w:t>需求</w:t>
      </w:r>
    </w:p>
    <w:p w14:paraId="1CF1C20E">
      <w:pPr>
        <w:keepNext w:val="0"/>
        <w:keepLines w:val="0"/>
        <w:pageBreakBefore w:val="0"/>
        <w:widowControl w:val="0"/>
        <w:kinsoku/>
        <w:wordWrap/>
        <w:overflowPunct/>
        <w:topLinePunct w:val="0"/>
        <w:autoSpaceDE/>
        <w:autoSpaceDN/>
        <w:bidi w:val="0"/>
        <w:adjustRightInd/>
        <w:snapToGrid/>
        <w:jc w:val="both"/>
        <w:textAlignment w:val="auto"/>
        <w:rPr>
          <w:rFonts w:hint="default" w:ascii="黑体" w:hAnsi="黑体" w:eastAsia="黑体" w:cs="黑体"/>
          <w:sz w:val="32"/>
          <w:szCs w:val="32"/>
          <w:lang w:val="en-US" w:eastAsia="zh-CN"/>
        </w:rPr>
      </w:pPr>
    </w:p>
    <w:p w14:paraId="7800CE88">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default" w:ascii="Times New Roman" w:hAnsi="Times New Roman" w:eastAsia="方正仿宋_GBK" w:cs="Times New Roman"/>
          <w:b w:val="0"/>
          <w:bCs/>
          <w:sz w:val="32"/>
          <w:szCs w:val="32"/>
          <w:lang w:val="en-US" w:eastAsia="zh-CN"/>
        </w:rPr>
      </w:pPr>
      <w:r>
        <w:rPr>
          <w:rFonts w:hint="eastAsia" w:ascii="方正黑体_GBK" w:hAnsi="方正黑体_GBK" w:eastAsia="方正黑体_GBK" w:cs="方正黑体_GBK"/>
          <w:b w:val="0"/>
          <w:bCs/>
          <w:sz w:val="32"/>
          <w:szCs w:val="32"/>
          <w:lang w:val="en-US" w:eastAsia="zh-CN"/>
        </w:rPr>
        <w:t>一、项目概况</w:t>
      </w:r>
    </w:p>
    <w:p w14:paraId="1031817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（一）项目建设背景</w:t>
      </w:r>
    </w:p>
    <w:p w14:paraId="7154D2D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kern w:val="2"/>
          <w:sz w:val="32"/>
          <w:szCs w:val="32"/>
          <w:lang w:val="en-US" w:eastAsia="zh-CN" w:bidi="ar-SA"/>
        </w:rPr>
        <w:t>按财政部印发《＜全国政府采购管理交易系统建设总体规划＞和＜政府采购业务基础数据规范＞的通知》</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整合本地区分散的政府采购信息系统，加快建设统一的电子化政府采购管理交易系统，逐步推动本地区所有政府采购项目进入政府采购管理交易系统进行交易，实现政府采购交易信息共享和全流程电子化操作。</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的要求，拟通过电子化政府采购平台与财政管理信息系统的衔接，逐步实现在线开展采购评审、投诉处理、合同签订、履约验收、信用评价、资金支付等。</w:t>
      </w:r>
    </w:p>
    <w:p w14:paraId="7293317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方正楷体_GBK" w:hAnsi="方正楷体_GBK" w:eastAsia="方正楷体_GBK" w:cs="方正楷体_GBK"/>
          <w:kern w:val="2"/>
          <w:sz w:val="32"/>
          <w:szCs w:val="32"/>
          <w:lang w:val="en-US" w:eastAsia="zh-CN" w:bidi="ar-SA"/>
        </w:rPr>
      </w:pPr>
      <w:r>
        <w:rPr>
          <w:rFonts w:hint="default" w:ascii="方正楷体_GBK" w:hAnsi="方正楷体_GBK" w:eastAsia="方正楷体_GBK" w:cs="方正楷体_GBK"/>
          <w:kern w:val="2"/>
          <w:sz w:val="32"/>
          <w:szCs w:val="32"/>
          <w:lang w:val="en-US" w:eastAsia="zh-CN" w:bidi="ar-SA"/>
        </w:rPr>
        <w:t>（二）建设目标</w:t>
      </w:r>
    </w:p>
    <w:p w14:paraId="1EAFC55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1.业务目标</w:t>
      </w:r>
    </w:p>
    <w:p w14:paraId="20461F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按照政府采购深化改革要求，以持续优化我市营商环境为导向，提升政府采购监管能力，推动建立曲靖政府采购全流程电子化交易模式。</w:t>
      </w:r>
    </w:p>
    <w:p w14:paraId="7E8E952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2.技术目标</w:t>
      </w:r>
    </w:p>
    <w:p w14:paraId="3C80943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通过提供政府采购电子化系统，使政府采购的业务数据进一步标准规范，多元化满足政府采购活动各方的系统使用需求。</w:t>
      </w:r>
    </w:p>
    <w:p w14:paraId="4A587D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3．预期绩效目标</w:t>
      </w:r>
    </w:p>
    <w:p w14:paraId="0D5BA7F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通过提供政府采购电子化交易系统，为政府采购的采购人、采购代理机构、供应商提供标准、便捷的系统服务，提升曲靖政府采购政策的执行力和透明度。</w:t>
      </w:r>
    </w:p>
    <w:p w14:paraId="7E680415">
      <w:pPr>
        <w:pStyle w:val="21"/>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需执行的国家相关标准、行业标准、地方标准或者其他标准、规范</w:t>
      </w:r>
    </w:p>
    <w:p w14:paraId="422B4A3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（一）建设要求</w:t>
      </w:r>
    </w:p>
    <w:p w14:paraId="5441309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1.安全性：采取应用级的安全技术和防护手段，保证应用系统自身的安全性，数据不被非法入侵者破坏和盗用。</w:t>
      </w:r>
    </w:p>
    <w:p w14:paraId="068A538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2.可靠性：可靠运行系统的基本要求，设计上不仅要保证系统运行可靠，还要保证数据存储的可靠性。</w:t>
      </w:r>
    </w:p>
    <w:p w14:paraId="376F420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3.可扩展性／可伸缩性：系统设计中要比较清晰地划分功能块，作结构化、模块化设计，用户可以选择需要的组件构成不同规模的应用系统。在适应目前需求的基础上，为将来可预见和不可预见的性能扩充留有余地；新功能、新业务的增加能够在不影响系统运行的情况下实现。满足业务近期、中期甚至长期时间范围数据快速增长的需要。</w:t>
      </w:r>
    </w:p>
    <w:p w14:paraId="333B9D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4.易操作、易管理性：良好的用户操作界面、完备的帮助信息。系统参数的维护与管理通过操作界面实现。</w:t>
      </w:r>
    </w:p>
    <w:p w14:paraId="077D1E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5.标准性和开放性：所有选用的技术和产品，全部遵循通用的国际或行业标准，各系统模块之间有良好的兼容性。能实现与曲靖政府采购现有业务系统进行对接。</w:t>
      </w:r>
    </w:p>
    <w:p w14:paraId="2E82A3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（二）建设依据</w:t>
      </w:r>
    </w:p>
    <w:p w14:paraId="4103C3E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1.国家相关标准</w:t>
      </w:r>
    </w:p>
    <w:p w14:paraId="50A0200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《国务院关于印发促进大数据发展行动纲要的通知》（国发（2015</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50号）</w:t>
      </w:r>
    </w:p>
    <w:p w14:paraId="3A35850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互联网＋政务服务</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技术体系建设指南》（国办函（2016</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108号）</w:t>
      </w:r>
    </w:p>
    <w:p w14:paraId="1B5A0BB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《全国政府采购管理交易系统建设总体规划》</w:t>
      </w:r>
    </w:p>
    <w:p w14:paraId="6418F6A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《政府采购业务基础数据规范》</w:t>
      </w:r>
    </w:p>
    <w:p w14:paraId="06713B8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2.行业标准</w:t>
      </w:r>
    </w:p>
    <w:p w14:paraId="44767D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信息技术软件生存周期过程（ GB / T 8566-2007</w:t>
      </w:r>
      <w:r>
        <w:rPr>
          <w:rFonts w:hint="eastAsia" w:ascii="Times New Roman" w:hAnsi="Times New Roman" w:eastAsia="方正仿宋_GBK" w:cs="Times New Roman"/>
          <w:kern w:val="2"/>
          <w:sz w:val="32"/>
          <w:szCs w:val="32"/>
          <w:lang w:val="en-US" w:eastAsia="zh-CN" w:bidi="ar-SA"/>
        </w:rPr>
        <w:t>）</w:t>
      </w:r>
    </w:p>
    <w:p w14:paraId="4DA443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信息技术软件工程术语（ GB / T 11457-2006</w:t>
      </w:r>
      <w:r>
        <w:rPr>
          <w:rFonts w:hint="eastAsia" w:ascii="Times New Roman" w:hAnsi="Times New Roman" w:eastAsia="方正仿宋_GBK" w:cs="Times New Roman"/>
          <w:kern w:val="2"/>
          <w:sz w:val="32"/>
          <w:szCs w:val="32"/>
          <w:lang w:val="en-US" w:eastAsia="zh-CN" w:bidi="ar-SA"/>
        </w:rPr>
        <w:t>）</w:t>
      </w:r>
    </w:p>
    <w:p w14:paraId="4A15D81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信息技术系统及软件完整性级别（ GB / T 18492-2001</w:t>
      </w:r>
      <w:r>
        <w:rPr>
          <w:rFonts w:hint="eastAsia" w:ascii="Times New Roman" w:hAnsi="Times New Roman" w:eastAsia="方正仿宋_GBK" w:cs="Times New Roman"/>
          <w:kern w:val="2"/>
          <w:sz w:val="32"/>
          <w:szCs w:val="32"/>
          <w:lang w:val="en-US" w:eastAsia="zh-CN" w:bidi="ar-SA"/>
        </w:rPr>
        <w:t>）</w:t>
      </w:r>
    </w:p>
    <w:p w14:paraId="28595E9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绘制信息技术软件工程术语（ GB / T 11457-2006</w:t>
      </w:r>
      <w:r>
        <w:rPr>
          <w:rFonts w:hint="eastAsia" w:ascii="Times New Roman" w:hAnsi="Times New Roman" w:eastAsia="方正仿宋_GBK" w:cs="Times New Roman"/>
          <w:kern w:val="2"/>
          <w:sz w:val="32"/>
          <w:szCs w:val="32"/>
          <w:lang w:val="en-US" w:eastAsia="zh-CN" w:bidi="ar-SA"/>
        </w:rPr>
        <w:t>）</w:t>
      </w:r>
    </w:p>
    <w:p w14:paraId="10F88F4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计算机软件需求规格说明规范（ GB / T 9385-2008</w:t>
      </w:r>
      <w:r>
        <w:rPr>
          <w:rFonts w:hint="eastAsia" w:ascii="Times New Roman" w:hAnsi="Times New Roman" w:eastAsia="方正仿宋_GBK" w:cs="Times New Roman"/>
          <w:kern w:val="2"/>
          <w:sz w:val="32"/>
          <w:szCs w:val="32"/>
          <w:lang w:val="en-US" w:eastAsia="zh-CN" w:bidi="ar-SA"/>
        </w:rPr>
        <w:t>）</w:t>
      </w:r>
    </w:p>
    <w:p w14:paraId="59386C3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计算机软件测试文档编制规范（ GB / T 9386-2008</w:t>
      </w:r>
      <w:r>
        <w:rPr>
          <w:rFonts w:hint="eastAsia" w:ascii="Times New Roman" w:hAnsi="Times New Roman" w:eastAsia="方正仿宋_GBK" w:cs="Times New Roman"/>
          <w:kern w:val="2"/>
          <w:sz w:val="32"/>
          <w:szCs w:val="32"/>
          <w:lang w:val="en-US" w:eastAsia="zh-CN" w:bidi="ar-SA"/>
        </w:rPr>
        <w:t>）</w:t>
      </w:r>
    </w:p>
    <w:p w14:paraId="53AC5F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信息技术软件生存周期过程指南（ GB / Z 18493-2001</w:t>
      </w:r>
      <w:r>
        <w:rPr>
          <w:rFonts w:hint="eastAsia" w:ascii="Times New Roman" w:hAnsi="Times New Roman" w:eastAsia="方正仿宋_GBK" w:cs="Times New Roman"/>
          <w:kern w:val="2"/>
          <w:sz w:val="32"/>
          <w:szCs w:val="32"/>
          <w:lang w:val="en-US" w:eastAsia="zh-CN" w:bidi="ar-SA"/>
        </w:rPr>
        <w:t>）</w:t>
      </w:r>
    </w:p>
    <w:p w14:paraId="012D18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3.法律法规</w:t>
      </w:r>
    </w:p>
    <w:p w14:paraId="3A31923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《中华人民共和国政府采购法》</w:t>
      </w:r>
    </w:p>
    <w:p w14:paraId="2C95206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《中华人民共和国政府采购法实施条例》</w:t>
      </w:r>
    </w:p>
    <w:p w14:paraId="1A50C68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《政府采购货物和服务招标投标管理办法》（财政部令第87号）</w:t>
      </w:r>
    </w:p>
    <w:p w14:paraId="6616F6B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《政府采购非招标采购方式管理办法》（中华人民共和国财政部令第74号）</w:t>
      </w:r>
    </w:p>
    <w:p w14:paraId="21C55C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财政部关于印发《政府采购竞争性采购方式管理暂行办法》的通知（财库（2014</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214号）</w:t>
      </w:r>
    </w:p>
    <w:p w14:paraId="0EE350F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《政府购买服务管理办法》（中华人民共和国财政部令第102号）</w:t>
      </w:r>
    </w:p>
    <w:p w14:paraId="75AA49E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《政府采购框架协议采购方式管理暂行办法》（中华人民共和国财政部令第110号）</w:t>
      </w:r>
    </w:p>
    <w:p w14:paraId="149583D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《政府采购信息发布管理办法》（中华人民共和国财政部令第101号）</w:t>
      </w:r>
    </w:p>
    <w:p w14:paraId="13BB0F4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关于印发《政府采购公告和公示信息格式规范（2020年版）》的通知（财办库（2020</w:t>
      </w:r>
      <w:r>
        <w:rPr>
          <w:rFonts w:hint="eastAsia" w:ascii="Times New Roman" w:hAnsi="Times New Roman" w:eastAsia="方正仿宋_GBK" w:cs="Times New Roman"/>
          <w:kern w:val="2"/>
          <w:sz w:val="32"/>
          <w:szCs w:val="32"/>
          <w:lang w:val="en-US" w:eastAsia="zh-CN" w:bidi="ar-SA"/>
        </w:rPr>
        <w:t>）</w:t>
      </w:r>
      <w:r>
        <w:rPr>
          <w:rFonts w:hint="default" w:ascii="Times New Roman" w:hAnsi="Times New Roman" w:eastAsia="方正仿宋_GBK" w:cs="Times New Roman"/>
          <w:kern w:val="2"/>
          <w:sz w:val="32"/>
          <w:szCs w:val="32"/>
          <w:lang w:val="en-US" w:eastAsia="zh-CN" w:bidi="ar-SA"/>
        </w:rPr>
        <w:t>50号）《</w:t>
      </w:r>
    </w:p>
    <w:p w14:paraId="6F5897E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政府采购质疑和投诉办法》（中华人民共和国财政部令第94号）</w:t>
      </w:r>
    </w:p>
    <w:p w14:paraId="0FA9C15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《优化营商环境条例》（国务院令</w:t>
      </w:r>
      <w:r>
        <w:rPr>
          <w:rFonts w:hint="eastAsia" w:eastAsia="方正仿宋_GBK" w:cs="Times New Roman"/>
          <w:kern w:val="2"/>
          <w:sz w:val="32"/>
          <w:szCs w:val="32"/>
          <w:lang w:val="en-US" w:eastAsia="zh-CN" w:bidi="ar-SA"/>
        </w:rPr>
        <w:t>第</w:t>
      </w:r>
      <w:r>
        <w:rPr>
          <w:rFonts w:hint="default" w:ascii="Times New Roman" w:hAnsi="Times New Roman" w:eastAsia="方正仿宋_GBK" w:cs="Times New Roman"/>
          <w:kern w:val="2"/>
          <w:sz w:val="32"/>
          <w:szCs w:val="32"/>
          <w:lang w:val="en-US" w:eastAsia="zh-CN" w:bidi="ar-SA"/>
        </w:rPr>
        <w:t>722号）</w:t>
      </w:r>
    </w:p>
    <w:p w14:paraId="2A334D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b/>
          <w:bCs/>
          <w:sz w:val="28"/>
          <w:szCs w:val="28"/>
          <w:lang w:val="en-US" w:eastAsia="zh-CN"/>
        </w:rPr>
      </w:pPr>
      <w:r>
        <w:rPr>
          <w:rFonts w:hint="eastAsia" w:ascii="方正黑体_GBK" w:hAnsi="方正黑体_GBK" w:eastAsia="方正黑体_GBK" w:cs="方正黑体_GBK"/>
          <w:b w:val="0"/>
          <w:bCs w:val="0"/>
          <w:sz w:val="32"/>
          <w:szCs w:val="32"/>
          <w:lang w:val="en-US" w:eastAsia="zh-CN"/>
        </w:rPr>
        <w:t>二、功能要求</w:t>
      </w:r>
    </w:p>
    <w:p w14:paraId="41A8C1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（一）基础管理模块</w:t>
      </w:r>
    </w:p>
    <w:p w14:paraId="46F8EBF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★1．采购人</w:t>
      </w:r>
    </w:p>
    <w:p w14:paraId="7C7C0A8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1）具有采购人信息批量导入功能，能将采购人信息批量导入，实现采购人信息的初始化。实现政府采购人账号与云南省政府采购管理系统、政采云电子卖场、框架协议一致。</w:t>
      </w:r>
    </w:p>
    <w:p w14:paraId="7CF0F4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2）支持创建采购人管理员账号并设置权限。</w:t>
      </w:r>
    </w:p>
    <w:p w14:paraId="52A0F61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3）支持采购人管理员账号创建本单位子账号，设置单位内部管理权限。</w:t>
      </w:r>
    </w:p>
    <w:p w14:paraId="5075E5E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4）支持采购人账号用户名、密码自助找回。</w:t>
      </w:r>
    </w:p>
    <w:p w14:paraId="396D88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5）支持采购人账号绑定 CA 锁。</w:t>
      </w:r>
    </w:p>
    <w:p w14:paraId="7250701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★2．供应商</w:t>
      </w:r>
    </w:p>
    <w:p w14:paraId="71ABFE0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1）支持供应商（包含自然人）在线注册填写供应商单位名称和信用统一</w:t>
      </w:r>
      <w:r>
        <w:rPr>
          <w:rFonts w:hint="eastAsia" w:eastAsia="方正仿宋_GBK" w:cs="Times New Roman"/>
          <w:b w:val="0"/>
          <w:bCs w:val="0"/>
          <w:sz w:val="32"/>
          <w:szCs w:val="32"/>
          <w:lang w:val="en-US" w:eastAsia="zh-CN"/>
        </w:rPr>
        <w:t>社会</w:t>
      </w:r>
      <w:r>
        <w:rPr>
          <w:rFonts w:hint="default" w:ascii="Times New Roman" w:hAnsi="Times New Roman" w:eastAsia="方正仿宋_GBK" w:cs="Times New Roman"/>
          <w:b w:val="0"/>
          <w:bCs w:val="0"/>
          <w:sz w:val="32"/>
          <w:szCs w:val="32"/>
          <w:lang w:val="en-US" w:eastAsia="zh-CN"/>
        </w:rPr>
        <w:t>信用代码（组织机构代码）等相关信息，并绑定 CA 锁。</w:t>
      </w:r>
    </w:p>
    <w:p w14:paraId="0E61FC2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2）支持已注册的供应商变更信息。</w:t>
      </w:r>
    </w:p>
    <w:p w14:paraId="2CAD70F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3)支持财政部门暂停供应商参加政府采购活动。</w:t>
      </w:r>
    </w:p>
    <w:p w14:paraId="0E6AB38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4)支持财政监管部门查询供应商信息。</w:t>
      </w:r>
    </w:p>
    <w:p w14:paraId="08E909C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5)支持供应商账号用户名、密码自助找回。</w:t>
      </w:r>
    </w:p>
    <w:p w14:paraId="19E60A3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★3．采购代理机构</w:t>
      </w:r>
    </w:p>
    <w:p w14:paraId="2F561C3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1)支持采购代理机构申请开通权限、变更信息。</w:t>
      </w:r>
    </w:p>
    <w:p w14:paraId="10FCA80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2)支持采购代理机构账号绑定 CA 锁。</w:t>
      </w:r>
    </w:p>
    <w:p w14:paraId="247E891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3)支持财政部门对采购代理机构进行管理。</w:t>
      </w:r>
    </w:p>
    <w:p w14:paraId="3A04FF3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4)支持采购代理机构账号用户名、密码自助找回，支持密码进行重置。</w:t>
      </w:r>
    </w:p>
    <w:p w14:paraId="6BB3302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eastAsia" w:eastAsia="方正仿宋_GBK" w:cs="Times New Roman"/>
          <w:b w:val="0"/>
          <w:bCs w:val="0"/>
          <w:sz w:val="32"/>
          <w:szCs w:val="32"/>
          <w:lang w:val="en-US" w:eastAsia="zh-CN"/>
        </w:rPr>
        <w:t>（二）</w:t>
      </w:r>
      <w:r>
        <w:rPr>
          <w:rFonts w:hint="default" w:ascii="Times New Roman" w:hAnsi="Times New Roman" w:eastAsia="方正仿宋_GBK" w:cs="Times New Roman"/>
          <w:b w:val="0"/>
          <w:bCs w:val="0"/>
          <w:sz w:val="32"/>
          <w:szCs w:val="32"/>
          <w:lang w:val="en-US" w:eastAsia="zh-CN"/>
        </w:rPr>
        <w:t>电子化交易系统功能模块</w:t>
      </w:r>
    </w:p>
    <w:p w14:paraId="5291798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电子化交易系统须具备公开招标、邀请招标、竞争性谈判、询价、单一来源采购、竞争性、框架协议采购7种采购方式。</w:t>
      </w:r>
    </w:p>
    <w:p w14:paraId="328BE5C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★1．项目委托</w:t>
      </w:r>
    </w:p>
    <w:p w14:paraId="3D43D1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云南省政府采购管理系统中采购人的委托信息可直接同步到电子化交易系统。</w:t>
      </w:r>
    </w:p>
    <w:p w14:paraId="3589C2D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★2．采购任务分派</w:t>
      </w:r>
    </w:p>
    <w:p w14:paraId="627C3F2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支持采购代理机构内部分派采购计划。可根据权限、流程设置，分派给具体操作员。可分派、退回，并查看委托单处理进度。</w:t>
      </w:r>
    </w:p>
    <w:p w14:paraId="275AD5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★3．采购文件编制</w:t>
      </w:r>
    </w:p>
    <w:p w14:paraId="11DFE5A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支持采购代理机构在线或离线编制采购文件，支持引用采购文件模板方式在线编辑采购文件或线下制作，上传到系统。</w:t>
      </w:r>
    </w:p>
    <w:p w14:paraId="0A86CF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采购文件编制过程中，线上制作支持对敏感或明令禁止的词汇的校验及提醒。支持敏感词库的动态调整，允许添加、</w:t>
      </w:r>
      <w:r>
        <w:rPr>
          <w:rFonts w:hint="eastAsia" w:eastAsia="方正仿宋_GBK" w:cs="Times New Roman"/>
          <w:b w:val="0"/>
          <w:bCs w:val="0"/>
          <w:sz w:val="32"/>
          <w:szCs w:val="32"/>
          <w:lang w:val="en-US" w:eastAsia="zh-CN"/>
        </w:rPr>
        <w:t>删</w:t>
      </w:r>
      <w:r>
        <w:rPr>
          <w:rFonts w:hint="default" w:ascii="Times New Roman" w:hAnsi="Times New Roman" w:eastAsia="方正仿宋_GBK" w:cs="Times New Roman"/>
          <w:b w:val="0"/>
          <w:bCs w:val="0"/>
          <w:sz w:val="32"/>
          <w:szCs w:val="32"/>
          <w:lang w:val="en-US" w:eastAsia="zh-CN"/>
        </w:rPr>
        <w:t>除敏感、禁止性词汇。</w:t>
      </w:r>
    </w:p>
    <w:p w14:paraId="5AB0E4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★4.信息发布（包括招标/邀请/询价//谈判/单一来源公告/中标（成交）公告/合同公告等）</w:t>
      </w:r>
    </w:p>
    <w:p w14:paraId="4FBD163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实现采购信息公告在本系统编辑确认后推送到云南省政府采购网。</w:t>
      </w:r>
    </w:p>
    <w:p w14:paraId="776166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★5.供应商邀请</w:t>
      </w:r>
    </w:p>
    <w:p w14:paraId="54AFAC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支持公告邀请、书面推荐的邀请方式，并支持对供应商进行资格预审。采购代理机构根据项目立项信息确定的供应商邀请方式发起供应商邀请。</w:t>
      </w:r>
    </w:p>
    <w:p w14:paraId="43FB8D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★6．评审方法制定</w:t>
      </w:r>
    </w:p>
    <w:p w14:paraId="4942458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支持在载编辑评审方法。可自定义评分项内容，包含每一项最高分最低分以及是否客观分、资格审查内容、符合性审查内容。</w:t>
      </w:r>
    </w:p>
    <w:p w14:paraId="2007326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7.响应点设置</w:t>
      </w:r>
    </w:p>
    <w:p w14:paraId="668DDB9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响应点即资格性审查、符合性审查以及评分项的定位点，通过响应点指导供应商在制作投标（响应）文件所需应答或关注的内容，方便专家对投标文件响应内容的查找、比对。支持关健事项设置多个对应响应点。</w:t>
      </w:r>
    </w:p>
    <w:p w14:paraId="6CF47F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8.采购文件审核</w:t>
      </w:r>
    </w:p>
    <w:p w14:paraId="438AAB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支持采购代理机构提交采购人审核。</w:t>
      </w:r>
    </w:p>
    <w:p w14:paraId="3A90ED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9．获取采购文件</w:t>
      </w:r>
    </w:p>
    <w:p w14:paraId="6FE9B2A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1）支持供应商登录系统后可查看未到报名截止时间的所有项目信息。</w:t>
      </w:r>
    </w:p>
    <w:p w14:paraId="7B68CA8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2）供应商需在报名截止时间前在系统中进行报名登记（实名制），完成报名后，供应商可在线免费下载采购文件。系统自动记录供应商获取采购文件的时间。</w:t>
      </w:r>
    </w:p>
    <w:p w14:paraId="3B51EED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3）采购人、采购代理机构可查看供应商报名情况。</w:t>
      </w:r>
    </w:p>
    <w:p w14:paraId="509C712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★10．在线询问</w:t>
      </w:r>
    </w:p>
    <w:p w14:paraId="59B33C6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1)支持供应商向采购人、采购代理机构提出在线询问。</w:t>
      </w:r>
    </w:p>
    <w:p w14:paraId="235ADA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2)支持采购人、采购代理机构在法定时限内对供应商提出询问做出答复。</w:t>
      </w:r>
    </w:p>
    <w:p w14:paraId="03C808B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3）支持供应商在线查看答复。</w:t>
      </w:r>
    </w:p>
    <w:p w14:paraId="289FA32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4）支持系统自动记录询问及回复的时间、内容。</w:t>
      </w:r>
    </w:p>
    <w:p w14:paraId="4E566D2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11.投标（响应）文件制作</w:t>
      </w:r>
    </w:p>
    <w:p w14:paraId="6D858CD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对照采购文件要求，可根据响应点关联资格审查、符合性审查、评分项的具体响应章节编制投标（响应）文件，加盖电子签章，生成有效的电子版投标（响应）文件。支持根据采购文件中的评分项关联标书中的相应点。</w:t>
      </w:r>
    </w:p>
    <w:p w14:paraId="6F4D21E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2）支持单页、多页、骑缝加盖 CA 签章后自动生成加密以及备份标书。</w:t>
      </w:r>
    </w:p>
    <w:p w14:paraId="58AE5F6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 CA 环境检测，文件信息完整性及有效性校验提醒。</w:t>
      </w:r>
    </w:p>
    <w:p w14:paraId="7A41430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12.投标（响应）文件上传</w:t>
      </w:r>
    </w:p>
    <w:p w14:paraId="56EB3B0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1）支持供应商针对已获取了采购文件的项目上传电子加密投标（响应）文件。</w:t>
      </w:r>
    </w:p>
    <w:p w14:paraId="6319265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2）系统支持校验对投标（响应）文件完整性以及与项目的匹配度。</w:t>
      </w:r>
    </w:p>
    <w:p w14:paraId="564F84D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3）允许供应商在规定时间内撤回和替换投标（响应）文件。</w:t>
      </w:r>
    </w:p>
    <w:p w14:paraId="308509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13.开启解密</w:t>
      </w:r>
    </w:p>
    <w:p w14:paraId="24348B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开标时间后可由采购代理机构点击或系统自动开启解密，供应商即可解密其加密标书。</w:t>
      </w:r>
    </w:p>
    <w:p w14:paraId="55EBBEB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★14．供应商签到</w:t>
      </w:r>
    </w:p>
    <w:p w14:paraId="043CA5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供应商可远程在线签到与解密。</w:t>
      </w:r>
    </w:p>
    <w:p w14:paraId="4C72E0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★15．环境监测</w:t>
      </w:r>
    </w:p>
    <w:p w14:paraId="3E1E7A2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支持供应商、采购代理机构、专家的开评标环境监测，可开启视频会议自测，模拟评标现场视频会议，保障评标过程稳定。</w:t>
      </w:r>
    </w:p>
    <w:p w14:paraId="6666339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评审小组签到</w:t>
      </w:r>
    </w:p>
    <w:p w14:paraId="314C547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点击评审的项目完成签到。</w:t>
      </w:r>
    </w:p>
    <w:p w14:paraId="07189E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★17．在线承诺</w:t>
      </w:r>
    </w:p>
    <w:p w14:paraId="7A32B5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专家评审前强制展示评审纪律以及承诺书。</w:t>
      </w:r>
    </w:p>
    <w:p w14:paraId="27FC9F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★18．在线回避</w:t>
      </w:r>
    </w:p>
    <w:p w14:paraId="66E6F27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向专家展示评审项目的供应商相关信息，专家可确认是否需要回避。</w:t>
      </w:r>
    </w:p>
    <w:p w14:paraId="69B1B62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w:t>
      </w:r>
      <w:r>
        <w:rPr>
          <w:rFonts w:hint="eastAsia" w:eastAsia="方正仿宋_GBK" w:cs="Times New Roman"/>
          <w:b w:val="0"/>
          <w:bCs w:val="0"/>
          <w:sz w:val="32"/>
          <w:szCs w:val="32"/>
          <w:lang w:val="en-US" w:eastAsia="zh-CN"/>
        </w:rPr>
        <w:t>9</w:t>
      </w:r>
      <w:r>
        <w:rPr>
          <w:rFonts w:hint="default" w:ascii="Times New Roman" w:hAnsi="Times New Roman" w:eastAsia="方正仿宋_GBK" w:cs="Times New Roman"/>
          <w:b w:val="0"/>
          <w:bCs w:val="0"/>
          <w:sz w:val="32"/>
          <w:szCs w:val="32"/>
          <w:lang w:val="en-US" w:eastAsia="zh-CN"/>
        </w:rPr>
        <w:t>．专家在线评审</w:t>
      </w:r>
    </w:p>
    <w:p w14:paraId="0EA3DF0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系统展现各个供应商的投标（响应）文件，评审项自动定位投标（响应）文件响应内容，支持多供应商标书对比评审模式。竞争性、竞争性谈判、</w:t>
      </w:r>
      <w:r>
        <w:rPr>
          <w:rFonts w:hint="eastAsia" w:ascii="Times New Roman" w:hAnsi="Times New Roman" w:eastAsia="方正仿宋_GBK" w:cs="Times New Roman"/>
          <w:b w:val="0"/>
          <w:bCs w:val="0"/>
          <w:sz w:val="32"/>
          <w:szCs w:val="32"/>
          <w:lang w:val="en-US" w:eastAsia="zh-CN"/>
        </w:rPr>
        <w:t>单一来源采购等方式须具有远程视频（谈判、协商）及提交最后报价的功能。</w:t>
      </w:r>
    </w:p>
    <w:p w14:paraId="3E58CD3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w:t>
      </w:r>
      <w:r>
        <w:rPr>
          <w:rFonts w:hint="eastAsia" w:eastAsia="方正仿宋_GBK" w:cs="Times New Roman"/>
          <w:b w:val="0"/>
          <w:bCs w:val="0"/>
          <w:sz w:val="32"/>
          <w:szCs w:val="32"/>
          <w:lang w:val="en-US" w:eastAsia="zh-CN"/>
        </w:rPr>
        <w:t>20</w:t>
      </w:r>
      <w:r>
        <w:rPr>
          <w:rFonts w:hint="default" w:ascii="Times New Roman" w:hAnsi="Times New Roman" w:eastAsia="方正仿宋_GBK" w:cs="Times New Roman"/>
          <w:b w:val="0"/>
          <w:bCs w:val="0"/>
          <w:sz w:val="32"/>
          <w:szCs w:val="32"/>
          <w:lang w:val="en-US" w:eastAsia="zh-CN"/>
        </w:rPr>
        <w:t>．评分汇总</w:t>
      </w:r>
    </w:p>
    <w:p w14:paraId="689DA62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系统自动汇总各项分值以及专家评审意见，按总分高低顺序排列供应商。</w:t>
      </w:r>
    </w:p>
    <w:p w14:paraId="1DA082D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w:t>
      </w:r>
      <w:r>
        <w:rPr>
          <w:rFonts w:hint="eastAsia" w:eastAsia="方正仿宋_GBK" w:cs="Times New Roman"/>
          <w:b w:val="0"/>
          <w:bCs w:val="0"/>
          <w:sz w:val="32"/>
          <w:szCs w:val="32"/>
          <w:lang w:val="en-US" w:eastAsia="zh-CN"/>
        </w:rPr>
        <w:t>21</w:t>
      </w:r>
      <w:r>
        <w:rPr>
          <w:rFonts w:hint="default" w:ascii="Times New Roman" w:hAnsi="Times New Roman" w:eastAsia="方正仿宋_GBK" w:cs="Times New Roman"/>
          <w:b w:val="0"/>
          <w:bCs w:val="0"/>
          <w:sz w:val="32"/>
          <w:szCs w:val="32"/>
          <w:lang w:val="en-US" w:eastAsia="zh-CN"/>
        </w:rPr>
        <w:t>．退回评审</w:t>
      </w:r>
    </w:p>
    <w:p w14:paraId="567E90C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若存在评审有误，在提交评审结果前，支持评审小组组长选择退回各个评审节点。系统保留前次评审记录。</w:t>
      </w:r>
    </w:p>
    <w:p w14:paraId="5F00551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★22．推荐成交候选供应商</w:t>
      </w:r>
    </w:p>
    <w:p w14:paraId="3715329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支持由评审小组推荐成交候选供应商后由采购人勾选成交供应商的模式或由评审小组勾选成交供应商，采购人确认的模式。</w:t>
      </w:r>
    </w:p>
    <w:p w14:paraId="3B15DA3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23.评审报告签字</w:t>
      </w:r>
    </w:p>
    <w:p w14:paraId="10836C5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系统结合评审数据自动生成相关开评标报表，支持评审小组、监督人等角色 CA 签章。</w:t>
      </w:r>
    </w:p>
    <w:p w14:paraId="58CC025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24.采购结果生成</w:t>
      </w:r>
    </w:p>
    <w:p w14:paraId="02E7AC1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采购结果信息包括项目基本情况、评审小组组成、评审情况说明、报价信息等。</w:t>
      </w:r>
    </w:p>
    <w:p w14:paraId="2BE32B8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★25.采购结果确认</w:t>
      </w:r>
    </w:p>
    <w:p w14:paraId="3DCCA96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单位经办人对由委托采购代理机构经办并审核通过的采购结果进行确认，若确认通过，采购结果生效；若审核不通过，退回至采购单位或采购代理机构经办人修改采购结果。限时确认，超过规定时间不确认系统则视为已确认。</w:t>
      </w:r>
    </w:p>
    <w:p w14:paraId="7039DDB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★26．采购结果查询</w:t>
      </w:r>
    </w:p>
    <w:p w14:paraId="4E7266B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供应商可查询已参与项目的采购结果。包括项目编号、采购单位、项目名称、金额、项目状态、是否中标等信息。</w:t>
      </w:r>
    </w:p>
    <w:p w14:paraId="3560BA7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27.中标（成交）通知书发送</w:t>
      </w:r>
    </w:p>
    <w:p w14:paraId="0099F14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采购代理机构经办人可向成交供应商发中标（成交）通知书，支持在线编制在线签章发送。</w:t>
      </w:r>
    </w:p>
    <w:p w14:paraId="7D59F18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★28．中标（成交）通知书查看</w:t>
      </w:r>
    </w:p>
    <w:p w14:paraId="3C5AC85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供应商可下载中标（成交）通知书文件。中标（成交）通知书内容包括：供应商名称、项目编号、项目名称、中标金额、联系人、中标时间等信息。</w:t>
      </w:r>
    </w:p>
    <w:p w14:paraId="13E7D15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★29．在线质疑、投诉</w:t>
      </w:r>
    </w:p>
    <w:p w14:paraId="5FC1D8F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1）支持供应商在法定期限内向采购人、采购代理机构在线提起质疑。</w:t>
      </w:r>
    </w:p>
    <w:p w14:paraId="0C42D68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2）支持录入质疑事项、质疑请求、事实依据、法律依据等信息。</w:t>
      </w:r>
    </w:p>
    <w:p w14:paraId="1645F79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3）支持采购人、采购代理机构上传质疑答复。</w:t>
      </w:r>
    </w:p>
    <w:p w14:paraId="1C30561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4）支持供应商在线查看质疑回复。</w:t>
      </w:r>
    </w:p>
    <w:p w14:paraId="3A69156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5）支持系统自动记录质疑及回复的时间、内容。</w:t>
      </w:r>
    </w:p>
    <w:p w14:paraId="6C89267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6）支持质疑供应商在线提交投诉材料。</w:t>
      </w:r>
    </w:p>
    <w:p w14:paraId="56C4FE8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7）支持政府采购监管部门在线发送投诉处理文书。</w:t>
      </w:r>
    </w:p>
    <w:p w14:paraId="79FB91D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8）支持被投诉人和相关当事人在线查看投诉材料和投诉处理文书，上传投诉答复。</w:t>
      </w:r>
    </w:p>
    <w:p w14:paraId="0B69317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9）支持政府采购监管部门在线上传投诉处理决定，投诉人、被投诉人和相关当事人均可查看投诉处理结果。</w:t>
      </w:r>
    </w:p>
    <w:p w14:paraId="4215A23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10）支持系统自动记录投诉及与投诉有关的时间、内容。</w:t>
      </w:r>
    </w:p>
    <w:p w14:paraId="717F159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★30．合同签订</w:t>
      </w:r>
    </w:p>
    <w:p w14:paraId="1F4D435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1）支持采购人与中标（成交）供应商在线签订政府采购合同。</w:t>
      </w:r>
    </w:p>
    <w:p w14:paraId="786F8CA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2)支持在线起草（或使用预置模板）编制合同，并将合同发送至双方进行审核确认。</w:t>
      </w:r>
    </w:p>
    <w:p w14:paraId="34A99A7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3)支持对签订的合同进行在线电子签章。</w:t>
      </w:r>
    </w:p>
    <w:p w14:paraId="29185AC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4)支持合同签订时间预警。</w:t>
      </w:r>
    </w:p>
    <w:p w14:paraId="2C3122A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5)支持在线发起合同撤销。</w:t>
      </w:r>
    </w:p>
    <w:p w14:paraId="4260DA0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6)支持将合同推送至云南省政府采购监管系统进行公示及备案。</w:t>
      </w:r>
    </w:p>
    <w:p w14:paraId="4A55228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7)支持根据多种条件对合同进行查询。</w:t>
      </w:r>
    </w:p>
    <w:p w14:paraId="0D3AFD5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★31．履约验收</w:t>
      </w:r>
    </w:p>
    <w:p w14:paraId="5ACA49B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 xml:space="preserve">支持对政府采购合同的履约管理。在线填写履约验收情况，上传履约验收报告，发布履约验收公告。支持多次录入阶段履约验收情况，支持对合同服约查询功能。   </w:t>
      </w:r>
    </w:p>
    <w:p w14:paraId="1F46240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★32．统计分析系统</w:t>
      </w:r>
    </w:p>
    <w:p w14:paraId="6A6AD7E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1)归集采购人、采购代理机构、供应商、评审专家在各项政府采购活动中产生的数据，对数据进行分析、比对，为</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互联网＋监管</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提供真实、准确的数据支撑。在各业务功能模块中实现数据查询和导出的功能，能适用于日常的业务查询要求，同时可将查询结果导出为多种文件格式、统计图表。</w:t>
      </w:r>
    </w:p>
    <w:p w14:paraId="7FA2F7B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2)政采云电子卖场、框架协议采购数据同步推送电子化交易系统</w:t>
      </w:r>
      <w:bookmarkStart w:id="80" w:name="_GoBack"/>
      <w:bookmarkEnd w:id="80"/>
      <w:r>
        <w:rPr>
          <w:rFonts w:hint="default" w:ascii="Times New Roman" w:hAnsi="Times New Roman" w:eastAsia="方正仿宋_GBK" w:cs="Times New Roman"/>
          <w:b w:val="0"/>
          <w:bCs w:val="0"/>
          <w:sz w:val="32"/>
          <w:szCs w:val="32"/>
          <w:lang w:val="en-US" w:eastAsia="zh-CN"/>
        </w:rPr>
        <w:t>，实现对政采云电子卖场、框架协议和电子化交易系统数据同步查询统计分析，且市级要能对各县（市、区）政采云电子卖场、框架协议和电子化交易系统的数据进行同步查询统计分析，为政府采购监管部门的决策提供数据支撑，包括多类型多维度查询分析服务。</w:t>
      </w:r>
    </w:p>
    <w:p w14:paraId="66669C0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★33．巡检功能</w:t>
      </w:r>
    </w:p>
    <w:p w14:paraId="68E0885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运用大数据针对电子招投标全流程可开展以下各个维度的巡检：投标（响应）文件文本异常、投标人信息异常（投标人在所有投标项目中上传标书时所填写的</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法定代表人或授权代表</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姓名和手机号码存在相同）、专家评分异常、对投标硬件设备异常（供应商 MAC 地址，IP 地址相同）等。</w:t>
      </w:r>
    </w:p>
    <w:p w14:paraId="2CCEBC6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★34．诚信管理</w:t>
      </w:r>
    </w:p>
    <w:p w14:paraId="45A60BD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支持评价管理。实现对采购人、采购代理机构、供应商、专家等当事人开展多个维度的互评。</w:t>
      </w:r>
    </w:p>
    <w:p w14:paraId="735B2A2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支持财政部门设置评价指标。</w:t>
      </w:r>
    </w:p>
    <w:p w14:paraId="6EA4669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支持评价结果应用及财政部门对采购当事人违规行为惩处操作。</w:t>
      </w:r>
    </w:p>
    <w:p w14:paraId="61CFD42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支持信用信息查询。</w:t>
      </w:r>
    </w:p>
    <w:p w14:paraId="48A31CC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★35．电子档案</w:t>
      </w:r>
    </w:p>
    <w:p w14:paraId="0C5CFE6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系统须实现采购档案电子化线上归档管理。</w:t>
      </w:r>
    </w:p>
    <w:p w14:paraId="015545F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★36．其它功能要求</w:t>
      </w:r>
    </w:p>
    <w:p w14:paraId="78CDE9A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1)模板库</w:t>
      </w:r>
    </w:p>
    <w:p w14:paraId="0608C0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①提供模</w:t>
      </w:r>
      <w:r>
        <w:rPr>
          <w:rFonts w:hint="eastAsia" w:eastAsia="方正仿宋_GBK" w:cs="Times New Roman"/>
          <w:b w:val="0"/>
          <w:bCs w:val="0"/>
          <w:sz w:val="32"/>
          <w:szCs w:val="32"/>
          <w:lang w:val="en-US" w:eastAsia="zh-CN"/>
        </w:rPr>
        <w:t>板</w:t>
      </w:r>
      <w:r>
        <w:rPr>
          <w:rFonts w:hint="default" w:ascii="Times New Roman" w:hAnsi="Times New Roman" w:eastAsia="方正仿宋_GBK" w:cs="Times New Roman"/>
          <w:b w:val="0"/>
          <w:bCs w:val="0"/>
          <w:sz w:val="32"/>
          <w:szCs w:val="32"/>
          <w:lang w:val="en-US" w:eastAsia="zh-CN"/>
        </w:rPr>
        <w:t>管理功能，支持平台级、区划级模</w:t>
      </w:r>
      <w:r>
        <w:rPr>
          <w:rFonts w:hint="eastAsia" w:eastAsia="方正仿宋_GBK" w:cs="Times New Roman"/>
          <w:b w:val="0"/>
          <w:bCs w:val="0"/>
          <w:sz w:val="32"/>
          <w:szCs w:val="32"/>
          <w:lang w:val="en-US" w:eastAsia="zh-CN"/>
        </w:rPr>
        <w:t>板</w:t>
      </w:r>
      <w:r>
        <w:rPr>
          <w:rFonts w:hint="default" w:ascii="Times New Roman" w:hAnsi="Times New Roman" w:eastAsia="方正仿宋_GBK" w:cs="Times New Roman"/>
          <w:b w:val="0"/>
          <w:bCs w:val="0"/>
          <w:sz w:val="32"/>
          <w:szCs w:val="32"/>
          <w:lang w:val="en-US" w:eastAsia="zh-CN"/>
        </w:rPr>
        <w:t>配置、修改、授权、发布、查询等功能，包括：采购环节模</w:t>
      </w:r>
      <w:r>
        <w:rPr>
          <w:rFonts w:hint="eastAsia" w:eastAsia="方正仿宋_GBK" w:cs="Times New Roman"/>
          <w:b w:val="0"/>
          <w:bCs w:val="0"/>
          <w:sz w:val="32"/>
          <w:szCs w:val="32"/>
          <w:lang w:val="en-US" w:eastAsia="zh-CN"/>
        </w:rPr>
        <w:t>板</w:t>
      </w:r>
      <w:r>
        <w:rPr>
          <w:rFonts w:hint="default" w:ascii="Times New Roman" w:hAnsi="Times New Roman" w:eastAsia="方正仿宋_GBK" w:cs="Times New Roman"/>
          <w:b w:val="0"/>
          <w:bCs w:val="0"/>
          <w:sz w:val="32"/>
          <w:szCs w:val="32"/>
          <w:lang w:val="en-US" w:eastAsia="zh-CN"/>
        </w:rPr>
        <w:t>（委托协议、公告、采购文件、中标（成交）通知书、合同公示、单一来源公示等）、采购过程模板（开标一览表模板、通知书模板、评标表格模板、资格审查表模板、符合性审查表模板、实质性审查表模板）、合同模板、监督管理模</w:t>
      </w:r>
      <w:r>
        <w:rPr>
          <w:rFonts w:hint="eastAsia" w:eastAsia="方正仿宋_GBK" w:cs="Times New Roman"/>
          <w:b w:val="0"/>
          <w:bCs w:val="0"/>
          <w:sz w:val="32"/>
          <w:szCs w:val="32"/>
          <w:lang w:val="en-US" w:eastAsia="zh-CN"/>
        </w:rPr>
        <w:t>板</w:t>
      </w:r>
      <w:r>
        <w:rPr>
          <w:rFonts w:hint="default" w:ascii="Times New Roman" w:hAnsi="Times New Roman" w:eastAsia="方正仿宋_GBK" w:cs="Times New Roman"/>
          <w:b w:val="0"/>
          <w:bCs w:val="0"/>
          <w:sz w:val="32"/>
          <w:szCs w:val="32"/>
          <w:lang w:val="en-US" w:eastAsia="zh-CN"/>
        </w:rPr>
        <w:t>、统计分析模板。</w:t>
      </w:r>
    </w:p>
    <w:p w14:paraId="3BF9B21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②支持用户模板自定义并进行保存、调用、删除。</w:t>
      </w:r>
    </w:p>
    <w:p w14:paraId="29091BF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2)远程异地开评标具备远程异地开评标的功能。</w:t>
      </w:r>
    </w:p>
    <w:p w14:paraId="6F7E8C9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敏感词管理系统集合全平台敏感词，可实现平台级、区划级敏感词的配置，敏感词等级分为提醒级、强控级。在电子化交易全流程各个阶段均结合敏感词校验，通过敏感词筛查技术，在采购文件编制、公告编制等业务触发敏感词信息。通过</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痕迹化</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功能，予以记录在案，便于责任追溯时</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有据可查、责任到人</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全方面严格管理线上信息。</w:t>
      </w:r>
    </w:p>
    <w:p w14:paraId="2AB075E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4）CA 锁互认全流程电子签章，按照财政部门要求对 CA 进行对接。能与云南省公共资源交易系统采用的 CA 锁实现互认。</w:t>
      </w:r>
    </w:p>
    <w:p w14:paraId="4BFB914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智能监督预警系统具有智能化监督预警功能，根据财政部门制定的规则，系统对数据进行分析，对可能存在的违规行为进行预警，包括围串标分析等功能，同时可与相应的业务系统相结合，在业务办理过程中给出风险提醒，包括未按法定时限履行采购程序预警提示直至限制使用等功能。</w:t>
      </w:r>
    </w:p>
    <w:p w14:paraId="60F895D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三、系统对接要求</w:t>
      </w:r>
    </w:p>
    <w:p w14:paraId="581BFD4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电子化交易系统对接要求：能够与云南省政府采购管理信息系统对接，接收云南省政府采购管理信息系统推送的采购计划、公告、合同等，完成采购活动后，向云南省政府采购管理信息系统返回采购过程相关信息。</w:t>
      </w:r>
    </w:p>
    <w:p w14:paraId="4FCB49D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★2）电子化交易系统能够与政采云电子卖场、框架协议采购无缝对接。</w:t>
      </w:r>
    </w:p>
    <w:p w14:paraId="0A7CED8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系统支持与公共资源交易门禁系统对接。</w:t>
      </w:r>
    </w:p>
    <w:p w14:paraId="1A20F86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★4）系统能够实现在全省范围无差别远程异地评审包含省级系统（政采云电子交易系统）及其他州市使用电子交易系统。</w:t>
      </w:r>
    </w:p>
    <w:p w14:paraId="05DA85C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四、安全保障</w:t>
      </w:r>
    </w:p>
    <w:p w14:paraId="0A32475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1．系统支持互联网协议第六版（ IPv 6）的技术要求，提供包括但不限于物理安全、网络安全、主机安全、应用安全、业务安全、数据安全等各类安全防护措施。</w:t>
      </w:r>
    </w:p>
    <w:p w14:paraId="6660569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2．提供多个不同层面的安全架构保障，保护数据的可用性、机密性和完整性；提供多种安全机制保护账户安全以防止未授权的用户操作；对系统可能发生的安全威胁和异常事件进行积极响应和处理。</w:t>
      </w:r>
    </w:p>
    <w:p w14:paraId="6C346E9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3．充分利用密码技术，对于需要保密的信息，采用商用密码技术进行加解密处理，防止信息的非授权泄漏，确保相关信息在产生、存储、传递和处理过程中的保密。</w:t>
      </w:r>
    </w:p>
    <w:p w14:paraId="61DD557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4．用户隐私数据安全方面符合相关国家和行业标准要求，防止用户隐私泄露。</w:t>
      </w:r>
    </w:p>
    <w:p w14:paraId="54A222F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5．系统需具备实时监测、发现、处理安全问题的能力，包括但不限于全自动检测和攻击策略匹配，实时防护 CC 恶意攻击以及大规模 DDOS 攻击等。同时需具备实时监测，处置涉黄、涉暴、反动等图片能力。</w:t>
      </w:r>
    </w:p>
    <w:p w14:paraId="4F8EAFA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6．对依据法律规定及系统要求对用户数据信息进行保护和处理。</w:t>
      </w:r>
    </w:p>
    <w:p w14:paraId="354B7C8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7．突发应急处理：如中标人交付的系统上线运行时，在系统运行环境出现故障或意外情况导致系统不能正常运行或导致业务中断时，中标人应对故障进行限时处理，包括针对不同故障级别的响应时间和响应内容。</w:t>
      </w:r>
    </w:p>
    <w:p w14:paraId="75BE384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8．系统建设符合信息系统安全三级等保要求。</w:t>
      </w:r>
    </w:p>
    <w:p w14:paraId="1ADBE20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五、培训</w:t>
      </w:r>
    </w:p>
    <w:p w14:paraId="1183ADD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提供完善的培训服务，根据系统使用实际需求，提供针对采购人、采购代理机构、评审专家、供应商等角色的培训。培训内容包括系统使用操作、常见问题处理等。培训应当采用线上线下结合方式开展，即可根据需要组织线下集中培训，也可提供在线教程及远程培训。投标人应向培训对象提供培训课件，培训产生的相关费用由投标人承担。</w:t>
      </w:r>
    </w:p>
    <w:p w14:paraId="7C1E997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2．培训内容</w:t>
      </w:r>
    </w:p>
    <w:tbl>
      <w:tblPr>
        <w:tblStyle w:val="38"/>
        <w:tblW w:w="9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2790"/>
        <w:gridCol w:w="5802"/>
      </w:tblGrid>
      <w:tr w14:paraId="19433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trPr>
        <w:tc>
          <w:tcPr>
            <w:tcW w:w="1256" w:type="dxa"/>
            <w:vAlign w:val="top"/>
          </w:tcPr>
          <w:p w14:paraId="278071A1">
            <w:pPr>
              <w:keepNext w:val="0"/>
              <w:keepLines w:val="0"/>
              <w:pageBreakBefore w:val="0"/>
              <w:widowControl w:val="0"/>
              <w:kinsoku w:val="0"/>
              <w:wordWrap/>
              <w:overflowPunct w:val="0"/>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sz w:val="32"/>
                <w:szCs w:val="32"/>
                <w:lang w:val="en-US" w:eastAsia="zh-CN"/>
              </w:rPr>
              <w:t>序号</w:t>
            </w:r>
          </w:p>
        </w:tc>
        <w:tc>
          <w:tcPr>
            <w:tcW w:w="2790" w:type="dxa"/>
            <w:vAlign w:val="top"/>
          </w:tcPr>
          <w:p w14:paraId="48C9817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培训对象</w:t>
            </w:r>
          </w:p>
        </w:tc>
        <w:tc>
          <w:tcPr>
            <w:tcW w:w="5802" w:type="dxa"/>
            <w:vAlign w:val="top"/>
          </w:tcPr>
          <w:p w14:paraId="7CF1C71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培训内容</w:t>
            </w:r>
          </w:p>
        </w:tc>
      </w:tr>
      <w:tr w14:paraId="3CF91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66BD3C6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w:t>
            </w:r>
          </w:p>
        </w:tc>
        <w:tc>
          <w:tcPr>
            <w:tcW w:w="2790" w:type="dxa"/>
            <w:vAlign w:val="top"/>
          </w:tcPr>
          <w:p w14:paraId="251E33B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政府采购管理部门</w:t>
            </w:r>
          </w:p>
        </w:tc>
        <w:tc>
          <w:tcPr>
            <w:tcW w:w="5802" w:type="dxa"/>
            <w:vAlign w:val="top"/>
          </w:tcPr>
          <w:p w14:paraId="56123E1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电子化交易系统操作说明</w:t>
            </w:r>
          </w:p>
        </w:tc>
      </w:tr>
      <w:tr w14:paraId="5E5B7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79D6FA4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w:t>
            </w:r>
          </w:p>
        </w:tc>
        <w:tc>
          <w:tcPr>
            <w:tcW w:w="2790" w:type="dxa"/>
            <w:vAlign w:val="top"/>
          </w:tcPr>
          <w:p w14:paraId="769E759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采购人</w:t>
            </w:r>
          </w:p>
        </w:tc>
        <w:tc>
          <w:tcPr>
            <w:tcW w:w="5802" w:type="dxa"/>
            <w:vAlign w:val="top"/>
          </w:tcPr>
          <w:p w14:paraId="19ECE9A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电子化交易系统采购人操作说明</w:t>
            </w:r>
          </w:p>
        </w:tc>
      </w:tr>
      <w:tr w14:paraId="05A1F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490245B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w:t>
            </w:r>
          </w:p>
        </w:tc>
        <w:tc>
          <w:tcPr>
            <w:tcW w:w="2790" w:type="dxa"/>
            <w:vAlign w:val="top"/>
          </w:tcPr>
          <w:p w14:paraId="5180641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采购代理机构</w:t>
            </w:r>
          </w:p>
        </w:tc>
        <w:tc>
          <w:tcPr>
            <w:tcW w:w="5802" w:type="dxa"/>
            <w:vAlign w:val="top"/>
          </w:tcPr>
          <w:p w14:paraId="11C06FC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电子化交易系统采购代理机构操作说明</w:t>
            </w:r>
          </w:p>
        </w:tc>
      </w:tr>
      <w:tr w14:paraId="0EB5D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4654285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4</w:t>
            </w:r>
          </w:p>
        </w:tc>
        <w:tc>
          <w:tcPr>
            <w:tcW w:w="2790" w:type="dxa"/>
            <w:vAlign w:val="top"/>
          </w:tcPr>
          <w:p w14:paraId="50F7AD8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供应商</w:t>
            </w:r>
          </w:p>
        </w:tc>
        <w:tc>
          <w:tcPr>
            <w:tcW w:w="5802" w:type="dxa"/>
            <w:vAlign w:val="top"/>
          </w:tcPr>
          <w:p w14:paraId="19C4DFE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电子化交易系统供应商操作说明</w:t>
            </w:r>
          </w:p>
        </w:tc>
      </w:tr>
      <w:tr w14:paraId="5B20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vAlign w:val="top"/>
          </w:tcPr>
          <w:p w14:paraId="50CFB7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5</w:t>
            </w:r>
          </w:p>
        </w:tc>
        <w:tc>
          <w:tcPr>
            <w:tcW w:w="2790" w:type="dxa"/>
            <w:vAlign w:val="top"/>
          </w:tcPr>
          <w:p w14:paraId="2D04D3B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评审专家</w:t>
            </w:r>
          </w:p>
        </w:tc>
        <w:tc>
          <w:tcPr>
            <w:tcW w:w="5802" w:type="dxa"/>
            <w:vAlign w:val="top"/>
          </w:tcPr>
          <w:p w14:paraId="45D115D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电子化交易系统评审专家操作说明</w:t>
            </w:r>
          </w:p>
        </w:tc>
      </w:tr>
    </w:tbl>
    <w:p w14:paraId="35BA910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3.培训频次</w:t>
      </w:r>
    </w:p>
    <w:p w14:paraId="32C3C16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服务期间，投标人应按照采购人要求提供培训不少于4次，包括2次线下、2次线上培训。如因疫情防控等特殊因素，经采购人同意，线下培训可以改为线上培训。</w:t>
      </w:r>
    </w:p>
    <w:p w14:paraId="4034F96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六、服务</w:t>
      </w:r>
    </w:p>
    <w:p w14:paraId="326D032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1.提供7×24小时技术服务；</w:t>
      </w:r>
    </w:p>
    <w:p w14:paraId="32F7EBA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★2.长期驻场服务。要求成交人提供本公司专职人员（至少1人）驻场服务（驻场地点：曲靖市财政局），不提供驻场服务，视为不响应采购需求。</w:t>
      </w:r>
    </w:p>
    <w:p w14:paraId="682DAAE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提供 5*8 小时（指工作日，周一至周五，节假日除外）的客户热线/在线服务，解答用户在使用中的问题。</w:t>
      </w:r>
    </w:p>
    <w:p w14:paraId="269BD22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七、其他</w:t>
      </w:r>
    </w:p>
    <w:p w14:paraId="08517C2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1.本地化部署，平台使用的云计算资源由曲靖市大数据中心统筹保障，按照实际需求使用曲靖市云计算中心资源。</w:t>
      </w:r>
    </w:p>
    <w:p w14:paraId="51DA903A">
      <w:pPr>
        <w:pStyle w:val="3"/>
        <w:keepNext/>
        <w:keepLines/>
        <w:pageBreakBefore w:val="0"/>
        <w:widowControl w:val="0"/>
        <w:kinsoku/>
        <w:wordWrap/>
        <w:overflowPunct/>
        <w:topLinePunct w:val="0"/>
        <w:autoSpaceDE/>
        <w:autoSpaceDN/>
        <w:bidi w:val="0"/>
        <w:adjustRightInd/>
        <w:snapToGrid/>
        <w:spacing w:before="0" w:beforeLines="0" w:after="0" w:afterLines="0"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2.</w:t>
      </w:r>
      <w:r>
        <w:rPr>
          <w:rFonts w:hint="eastAsia" w:ascii="Times New Roman" w:hAnsi="Times New Roman" w:eastAsia="方正仿宋_GBK" w:cs="Times New Roman"/>
          <w:b w:val="0"/>
          <w:bCs w:val="0"/>
          <w:color w:val="auto"/>
          <w:sz w:val="32"/>
          <w:szCs w:val="32"/>
          <w:highlight w:val="none"/>
          <w:lang w:val="en-US" w:eastAsia="zh-CN"/>
        </w:rPr>
        <w:t>建设期限：自合同签订之日起 3 个月内完成系统整体上线。</w:t>
      </w:r>
    </w:p>
    <w:p w14:paraId="12CEAE0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eastAsia="方正仿宋_GBK" w:cs="Times New Roman"/>
          <w:b w:val="0"/>
          <w:bCs w:val="0"/>
          <w:sz w:val="32"/>
          <w:szCs w:val="32"/>
          <w:lang w:val="en-US" w:eastAsia="zh-CN"/>
        </w:rPr>
        <w:t>3.</w:t>
      </w:r>
      <w:r>
        <w:rPr>
          <w:rFonts w:hint="default" w:ascii="Times New Roman" w:hAnsi="Times New Roman" w:eastAsia="方正仿宋_GBK" w:cs="Times New Roman"/>
          <w:b w:val="0"/>
          <w:bCs w:val="0"/>
          <w:sz w:val="32"/>
          <w:szCs w:val="32"/>
          <w:lang w:val="en-US" w:eastAsia="zh-CN"/>
        </w:rPr>
        <w:t>要求对系统功能进行演示。</w:t>
      </w:r>
    </w:p>
    <w:p w14:paraId="3755F43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eastAsia="方正仿宋_GBK" w:cs="Times New Roman"/>
          <w:b w:val="0"/>
          <w:bCs w:val="0"/>
          <w:sz w:val="32"/>
          <w:szCs w:val="32"/>
          <w:lang w:val="en-US" w:eastAsia="zh-CN"/>
        </w:rPr>
        <w:t>4.</w:t>
      </w:r>
      <w:r>
        <w:rPr>
          <w:rFonts w:hint="default" w:ascii="Times New Roman" w:hAnsi="Times New Roman" w:eastAsia="方正仿宋_GBK" w:cs="Times New Roman"/>
          <w:b w:val="0"/>
          <w:bCs w:val="0"/>
          <w:sz w:val="32"/>
          <w:szCs w:val="32"/>
          <w:lang w:val="en-US" w:eastAsia="zh-CN"/>
        </w:rPr>
        <w:t>.县（市、区）项目建设费、运维费不得高于市级。</w:t>
      </w:r>
    </w:p>
    <w:p w14:paraId="5B0E7B3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lang w:val="en-US" w:eastAsia="zh-CN"/>
        </w:rPr>
      </w:pPr>
      <w:r>
        <w:rPr>
          <w:rFonts w:hint="eastAsia" w:eastAsia="方正仿宋_GBK" w:cs="Times New Roman"/>
          <w:b w:val="0"/>
          <w:bCs w:val="0"/>
          <w:sz w:val="32"/>
          <w:szCs w:val="32"/>
          <w:lang w:val="en-US" w:eastAsia="zh-CN"/>
        </w:rPr>
        <w:t>5</w:t>
      </w:r>
      <w:r>
        <w:rPr>
          <w:rFonts w:hint="default" w:ascii="Times New Roman" w:hAnsi="Times New Roman" w:eastAsia="方正仿宋_GBK" w:cs="Times New Roman"/>
          <w:b w:val="0"/>
          <w:bCs w:val="0"/>
          <w:sz w:val="32"/>
          <w:szCs w:val="32"/>
          <w:lang w:val="en-US" w:eastAsia="zh-CN"/>
        </w:rPr>
        <w:t>.本项目采购执行三年，第二、第三年签订运维合同，合同一年一签。</w:t>
      </w:r>
    </w:p>
    <w:p w14:paraId="21E4097D">
      <w:pPr>
        <w:pStyle w:val="21"/>
        <w:keepNext w:val="0"/>
        <w:keepLines w:val="0"/>
        <w:pageBreakBefore w:val="0"/>
        <w:widowControl w:val="0"/>
        <w:tabs>
          <w:tab w:val="left" w:pos="1261"/>
          <w:tab w:val="center" w:pos="4995"/>
        </w:tabs>
        <w:kinsoku/>
        <w:wordWrap/>
        <w:overflowPunct/>
        <w:topLinePunct w:val="0"/>
        <w:autoSpaceDE/>
        <w:autoSpaceDN/>
        <w:bidi w:val="0"/>
        <w:adjustRightInd/>
        <w:snapToGrid/>
        <w:spacing w:line="600" w:lineRule="exact"/>
        <w:ind w:firstLine="640" w:firstLineChars="200"/>
        <w:jc w:val="both"/>
        <w:textAlignment w:val="auto"/>
        <w:outlineLvl w:val="0"/>
        <w:rPr>
          <w:rFonts w:hint="default" w:ascii="Times New Roman" w:hAnsi="Times New Roman" w:eastAsia="方正仿宋_GBK" w:cs="Times New Roman"/>
          <w:b w:val="0"/>
          <w:bCs w:val="0"/>
          <w:sz w:val="32"/>
          <w:szCs w:val="32"/>
        </w:rPr>
      </w:pPr>
      <w:bookmarkStart w:id="58" w:name="_Toc5340"/>
    </w:p>
    <w:p w14:paraId="60965B8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0A250827">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5C8D5449">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64553381">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5B25A360">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72A0F11D">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30C2AD8B">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34EDB5BE">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2C09ACBB">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707B57A2">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0CC6AA04">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4DC5D077">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67AC94F0">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599FE4D2">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3778F2F8">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sz w:val="32"/>
          <w:szCs w:val="32"/>
        </w:rPr>
      </w:pPr>
    </w:p>
    <w:p w14:paraId="21E579B7">
      <w:pPr>
        <w:pStyle w:val="2"/>
        <w:rPr>
          <w:rFonts w:hint="eastAsia" w:ascii="仿宋_GB2312" w:eastAsia="仿宋_GB2312"/>
          <w:b/>
          <w:sz w:val="30"/>
          <w:szCs w:val="30"/>
        </w:rPr>
      </w:pPr>
    </w:p>
    <w:p w14:paraId="7DC5298F">
      <w:pPr>
        <w:pStyle w:val="2"/>
        <w:rPr>
          <w:rFonts w:hint="eastAsia" w:ascii="仿宋_GB2312" w:eastAsia="仿宋_GB2312"/>
          <w:b/>
          <w:sz w:val="30"/>
          <w:szCs w:val="30"/>
        </w:rPr>
      </w:pPr>
    </w:p>
    <w:p w14:paraId="2CCFA0AA">
      <w:pPr>
        <w:pStyle w:val="2"/>
        <w:rPr>
          <w:rFonts w:hint="eastAsia" w:ascii="仿宋_GB2312" w:eastAsia="仿宋_GB2312"/>
          <w:b/>
          <w:sz w:val="30"/>
          <w:szCs w:val="30"/>
        </w:rPr>
      </w:pPr>
    </w:p>
    <w:p w14:paraId="17E16D04">
      <w:pPr>
        <w:pStyle w:val="2"/>
        <w:rPr>
          <w:rFonts w:hint="eastAsia" w:ascii="仿宋_GB2312" w:eastAsia="仿宋_GB2312"/>
          <w:b/>
          <w:sz w:val="30"/>
          <w:szCs w:val="30"/>
        </w:rPr>
      </w:pPr>
    </w:p>
    <w:p w14:paraId="54BA032B">
      <w:pPr>
        <w:pStyle w:val="2"/>
        <w:rPr>
          <w:rFonts w:hint="eastAsia" w:ascii="仿宋_GB2312" w:eastAsia="仿宋_GB2312"/>
          <w:b/>
          <w:sz w:val="30"/>
          <w:szCs w:val="30"/>
        </w:rPr>
      </w:pPr>
    </w:p>
    <w:p w14:paraId="5B7DBCCD">
      <w:pPr>
        <w:pStyle w:val="2"/>
        <w:rPr>
          <w:rFonts w:hint="eastAsia" w:ascii="仿宋_GB2312" w:eastAsia="仿宋_GB2312"/>
          <w:b/>
          <w:sz w:val="30"/>
          <w:szCs w:val="30"/>
        </w:rPr>
      </w:pPr>
    </w:p>
    <w:p w14:paraId="7F24A8B1">
      <w:pPr>
        <w:pStyle w:val="21"/>
        <w:tabs>
          <w:tab w:val="left" w:pos="1261"/>
          <w:tab w:val="center" w:pos="4995"/>
        </w:tabs>
        <w:jc w:val="both"/>
        <w:outlineLvl w:val="0"/>
        <w:rPr>
          <w:rFonts w:hint="eastAsia" w:ascii="仿宋_GB2312" w:eastAsia="仿宋_GB2312"/>
          <w:b/>
          <w:sz w:val="30"/>
          <w:szCs w:val="30"/>
        </w:rPr>
      </w:pPr>
    </w:p>
    <w:p w14:paraId="6361F320">
      <w:pPr>
        <w:pStyle w:val="21"/>
        <w:tabs>
          <w:tab w:val="left" w:pos="1261"/>
          <w:tab w:val="center" w:pos="4995"/>
        </w:tabs>
        <w:jc w:val="center"/>
        <w:outlineLvl w:val="0"/>
        <w:rPr>
          <w:rFonts w:hint="eastAsia" w:ascii="仿宋_GB2312" w:eastAsia="仿宋_GB2312"/>
          <w:b/>
          <w:sz w:val="30"/>
          <w:szCs w:val="30"/>
        </w:rPr>
      </w:pPr>
    </w:p>
    <w:p w14:paraId="4AFDCF8C">
      <w:pPr>
        <w:pStyle w:val="21"/>
        <w:tabs>
          <w:tab w:val="left" w:pos="1261"/>
          <w:tab w:val="center" w:pos="4995"/>
        </w:tabs>
        <w:jc w:val="center"/>
        <w:outlineLvl w:val="0"/>
        <w:rPr>
          <w:rFonts w:hint="eastAsia" w:ascii="仿宋_GB2312" w:eastAsia="仿宋_GB2312"/>
          <w:b/>
          <w:sz w:val="30"/>
          <w:szCs w:val="30"/>
        </w:rPr>
      </w:pPr>
    </w:p>
    <w:p w14:paraId="74F9AEC0">
      <w:pPr>
        <w:pStyle w:val="21"/>
        <w:tabs>
          <w:tab w:val="left" w:pos="1261"/>
          <w:tab w:val="center" w:pos="4995"/>
        </w:tabs>
        <w:jc w:val="center"/>
        <w:outlineLvl w:val="0"/>
        <w:rPr>
          <w:rFonts w:hint="eastAsia" w:ascii="仿宋_GB2312" w:eastAsia="仿宋_GB2312"/>
          <w:b/>
          <w:sz w:val="30"/>
          <w:szCs w:val="30"/>
        </w:rPr>
      </w:pPr>
    </w:p>
    <w:p w14:paraId="28F10F5E">
      <w:pPr>
        <w:pStyle w:val="21"/>
        <w:keepNext w:val="0"/>
        <w:keepLines w:val="0"/>
        <w:pageBreakBefore w:val="0"/>
        <w:widowControl w:val="0"/>
        <w:tabs>
          <w:tab w:val="left" w:pos="1261"/>
          <w:tab w:val="center" w:pos="4995"/>
        </w:tabs>
        <w:kinsoku/>
        <w:wordWrap/>
        <w:overflowPunct/>
        <w:topLinePunct w:val="0"/>
        <w:autoSpaceDE/>
        <w:autoSpaceDN/>
        <w:bidi w:val="0"/>
        <w:adjustRightInd/>
        <w:snapToGrid/>
        <w:spacing w:line="720" w:lineRule="exact"/>
        <w:jc w:val="center"/>
        <w:textAlignment w:val="auto"/>
        <w:outlineLvl w:val="0"/>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第五章  合同格式文本</w:t>
      </w:r>
      <w:bookmarkEnd w:id="57"/>
      <w:bookmarkEnd w:id="58"/>
    </w:p>
    <w:p w14:paraId="5E00046F">
      <w:pPr>
        <w:jc w:val="center"/>
        <w:rPr>
          <w:rFonts w:eastAsia="仿宋_GB2312"/>
          <w:b/>
          <w:spacing w:val="100"/>
          <w:sz w:val="36"/>
        </w:rPr>
      </w:pPr>
    </w:p>
    <w:p w14:paraId="6D8A5B26">
      <w:pPr>
        <w:jc w:val="center"/>
        <w:rPr>
          <w:rFonts w:eastAsia="仿宋_GB2312"/>
          <w:b/>
          <w:spacing w:val="100"/>
          <w:sz w:val="36"/>
        </w:rPr>
      </w:pPr>
    </w:p>
    <w:p w14:paraId="3B457E37">
      <w:pPr>
        <w:jc w:val="center"/>
        <w:rPr>
          <w:rFonts w:ascii="宋体" w:hAnsi="宋体" w:cs="宋体"/>
          <w:b/>
          <w:sz w:val="112"/>
          <w:szCs w:val="112"/>
        </w:rPr>
      </w:pPr>
      <w:r>
        <w:rPr>
          <w:rFonts w:hint="eastAsia" w:ascii="宋体" w:hAnsi="宋体" w:cs="宋体"/>
          <w:b/>
          <w:sz w:val="112"/>
          <w:szCs w:val="112"/>
        </w:rPr>
        <w:t>购</w:t>
      </w:r>
    </w:p>
    <w:p w14:paraId="5ADF3908">
      <w:pPr>
        <w:jc w:val="center"/>
        <w:rPr>
          <w:rFonts w:ascii="宋体" w:hAnsi="宋体" w:cs="宋体"/>
          <w:b/>
          <w:sz w:val="112"/>
          <w:szCs w:val="112"/>
        </w:rPr>
      </w:pPr>
      <w:r>
        <w:rPr>
          <w:rFonts w:hint="eastAsia" w:ascii="宋体" w:hAnsi="宋体" w:cs="宋体"/>
          <w:b/>
          <w:sz w:val="112"/>
          <w:szCs w:val="112"/>
        </w:rPr>
        <w:t>销</w:t>
      </w:r>
    </w:p>
    <w:p w14:paraId="254CC35F">
      <w:pPr>
        <w:jc w:val="center"/>
        <w:rPr>
          <w:rFonts w:ascii="宋体" w:hAnsi="宋体" w:cs="宋体"/>
          <w:b/>
          <w:sz w:val="112"/>
          <w:szCs w:val="112"/>
        </w:rPr>
      </w:pPr>
      <w:r>
        <w:rPr>
          <w:rFonts w:hint="eastAsia" w:ascii="宋体" w:hAnsi="宋体" w:cs="宋体"/>
          <w:b/>
          <w:sz w:val="112"/>
          <w:szCs w:val="112"/>
        </w:rPr>
        <w:t>合</w:t>
      </w:r>
    </w:p>
    <w:p w14:paraId="0BB7C31B">
      <w:pPr>
        <w:jc w:val="center"/>
        <w:rPr>
          <w:rFonts w:ascii="宋体" w:hAnsi="宋体" w:cs="宋体"/>
          <w:b/>
          <w:sz w:val="112"/>
          <w:szCs w:val="112"/>
        </w:rPr>
      </w:pPr>
      <w:r>
        <w:rPr>
          <w:rFonts w:hint="eastAsia" w:ascii="宋体" w:hAnsi="宋体" w:cs="宋体"/>
          <w:b/>
          <w:sz w:val="112"/>
          <w:szCs w:val="112"/>
        </w:rPr>
        <w:t>同</w:t>
      </w:r>
    </w:p>
    <w:p w14:paraId="4DC4BB0C">
      <w:pPr>
        <w:jc w:val="center"/>
        <w:rPr>
          <w:rFonts w:ascii="宋体" w:hAnsi="宋体" w:cs="宋体"/>
          <w:b/>
          <w:szCs w:val="21"/>
        </w:rPr>
      </w:pPr>
    </w:p>
    <w:p w14:paraId="7E04D166">
      <w:pPr>
        <w:spacing w:line="740" w:lineRule="exact"/>
        <w:rPr>
          <w:sz w:val="32"/>
        </w:rPr>
      </w:pPr>
      <w:r>
        <w:rPr>
          <w:rFonts w:hint="eastAsia"/>
          <w:sz w:val="32"/>
        </w:rPr>
        <w:t xml:space="preserve">   </w:t>
      </w:r>
    </w:p>
    <w:p w14:paraId="1FC4068A">
      <w:pPr>
        <w:spacing w:line="740" w:lineRule="exact"/>
        <w:rPr>
          <w:rFonts w:ascii="宋体" w:hAnsi="宋体"/>
          <w:sz w:val="32"/>
        </w:rPr>
      </w:pPr>
      <w:r>
        <w:rPr>
          <w:rFonts w:hint="eastAsia"/>
          <w:sz w:val="32"/>
        </w:rPr>
        <w:t xml:space="preserve"> </w:t>
      </w:r>
      <w:r>
        <w:rPr>
          <w:rFonts w:hint="eastAsia" w:ascii="宋体" w:hAnsi="宋体"/>
          <w:sz w:val="32"/>
        </w:rPr>
        <w:t xml:space="preserve"> </w:t>
      </w:r>
      <w:r>
        <w:rPr>
          <w:rFonts w:hint="eastAsia" w:ascii="宋体" w:hAnsi="宋体"/>
          <w:sz w:val="32"/>
          <w:lang w:val="en-US" w:eastAsia="zh-CN"/>
        </w:rPr>
        <w:t xml:space="preserve">   </w:t>
      </w:r>
      <w:r>
        <w:rPr>
          <w:rFonts w:hint="eastAsia" w:ascii="宋体" w:hAnsi="宋体"/>
          <w:sz w:val="32"/>
        </w:rPr>
        <w:t>需求方：</w:t>
      </w:r>
      <w:r>
        <w:rPr>
          <w:rFonts w:hint="eastAsia" w:ascii="宋体" w:hAnsi="宋体"/>
          <w:sz w:val="32"/>
          <w:u w:val="single"/>
        </w:rPr>
        <w:t xml:space="preserve">                              </w:t>
      </w:r>
    </w:p>
    <w:p w14:paraId="76C24E26">
      <w:pPr>
        <w:spacing w:line="740" w:lineRule="exact"/>
        <w:rPr>
          <w:rFonts w:ascii="宋体" w:hAnsi="宋体"/>
          <w:sz w:val="32"/>
        </w:rPr>
      </w:pPr>
      <w:r>
        <w:rPr>
          <w:rFonts w:hint="eastAsia" w:ascii="宋体" w:hAnsi="宋体"/>
          <w:sz w:val="32"/>
        </w:rPr>
        <w:t xml:space="preserve">     供应方：</w:t>
      </w:r>
      <w:r>
        <w:rPr>
          <w:rFonts w:hint="eastAsia" w:ascii="宋体" w:hAnsi="宋体"/>
          <w:sz w:val="32"/>
          <w:u w:val="single"/>
        </w:rPr>
        <w:t xml:space="preserve">                              </w:t>
      </w:r>
    </w:p>
    <w:p w14:paraId="6820B51E">
      <w:pPr>
        <w:spacing w:line="740" w:lineRule="exact"/>
        <w:rPr>
          <w:sz w:val="32"/>
        </w:rPr>
      </w:pPr>
      <w:r>
        <w:rPr>
          <w:rFonts w:hint="eastAsia"/>
          <w:sz w:val="32"/>
        </w:rPr>
        <w:t xml:space="preserve">     签订地点： </w:t>
      </w:r>
    </w:p>
    <w:p w14:paraId="5FAB409D">
      <w:pPr>
        <w:spacing w:line="740" w:lineRule="exact"/>
        <w:rPr>
          <w:rFonts w:eastAsia="隶书"/>
          <w:sz w:val="32"/>
        </w:rPr>
      </w:pPr>
      <w:r>
        <w:rPr>
          <w:rFonts w:hint="eastAsia"/>
          <w:sz w:val="32"/>
        </w:rPr>
        <w:t xml:space="preserve">     签订时间：   </w:t>
      </w:r>
      <w:r>
        <w:rPr>
          <w:sz w:val="32"/>
        </w:rPr>
        <w:t xml:space="preserve">   </w:t>
      </w:r>
      <w:r>
        <w:rPr>
          <w:rFonts w:hint="eastAsia"/>
          <w:sz w:val="32"/>
        </w:rPr>
        <w:t xml:space="preserve"> 年    月    日</w:t>
      </w:r>
    </w:p>
    <w:p w14:paraId="198467BA">
      <w:pPr>
        <w:jc w:val="center"/>
        <w:rPr>
          <w:rFonts w:eastAsia="隶书"/>
          <w:sz w:val="32"/>
        </w:rPr>
      </w:pPr>
    </w:p>
    <w:p w14:paraId="04BD4B9C">
      <w:pPr>
        <w:spacing w:line="420" w:lineRule="exact"/>
        <w:ind w:firstLine="560" w:firstLineChars="200"/>
        <w:rPr>
          <w:rFonts w:ascii="仿宋" w:hAnsi="仿宋" w:eastAsia="仿宋" w:cs="仿宋"/>
          <w:sz w:val="28"/>
          <w:szCs w:val="28"/>
        </w:rPr>
        <w:sectPr>
          <w:pgSz w:w="11906" w:h="16838"/>
          <w:pgMar w:top="1134" w:right="1134" w:bottom="1247" w:left="1134" w:header="1020" w:footer="567" w:gutter="0"/>
          <w:cols w:space="720" w:num="1"/>
          <w:titlePg/>
          <w:docGrid w:linePitch="312" w:charSpace="0"/>
        </w:sectPr>
      </w:pPr>
    </w:p>
    <w:p w14:paraId="0A9C8B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rPr>
        <w:t>甲方：</w:t>
      </w:r>
      <w:r>
        <w:rPr>
          <w:rFonts w:hint="eastAsia" w:asciiTheme="minorEastAsia" w:hAnsiTheme="minorEastAsia" w:eastAsiaTheme="minorEastAsia" w:cstheme="minorEastAsia"/>
          <w:sz w:val="28"/>
          <w:szCs w:val="28"/>
          <w:u w:val="single"/>
          <w:lang w:val="en-US" w:eastAsia="zh-CN"/>
        </w:rPr>
        <w:t xml:space="preserve">                   </w:t>
      </w:r>
    </w:p>
    <w:p w14:paraId="1E252C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乙方：</w:t>
      </w:r>
      <w:r>
        <w:rPr>
          <w:rFonts w:hint="eastAsia" w:asciiTheme="minorEastAsia" w:hAnsiTheme="minorEastAsia" w:eastAsiaTheme="minorEastAsia" w:cstheme="minorEastAsia"/>
          <w:sz w:val="28"/>
          <w:szCs w:val="28"/>
          <w:u w:val="single"/>
          <w:lang w:val="en-US" w:eastAsia="zh-CN"/>
        </w:rPr>
        <w:t xml:space="preserve">                   </w:t>
      </w:r>
    </w:p>
    <w:p w14:paraId="750AB5AA">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为明确双方的权利和义务，依据《中华人民共和国民法典》等法律法规的相关规定，</w:t>
      </w:r>
      <w:r>
        <w:rPr>
          <w:rFonts w:hint="eastAsia" w:asciiTheme="minorEastAsia" w:hAnsiTheme="minorEastAsia" w:eastAsiaTheme="minorEastAsia" w:cstheme="minorEastAsia"/>
          <w:b w:val="0"/>
          <w:bCs w:val="0"/>
          <w:sz w:val="28"/>
          <w:szCs w:val="28"/>
          <w:lang w:val="en-US" w:eastAsia="zh-CN"/>
        </w:rPr>
        <w:t>曲靖政府采购电子化交易系统项目</w:t>
      </w:r>
      <w:r>
        <w:rPr>
          <w:rFonts w:hint="eastAsia" w:asciiTheme="minorEastAsia" w:hAnsiTheme="minorEastAsia" w:eastAsiaTheme="minorEastAsia" w:cstheme="minorEastAsia"/>
          <w:sz w:val="28"/>
          <w:szCs w:val="28"/>
        </w:rPr>
        <w:t>结果</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相关文件以及《</w:t>
      </w:r>
      <w:r>
        <w:rPr>
          <w:rFonts w:hint="eastAsia" w:asciiTheme="minorEastAsia" w:hAnsiTheme="minorEastAsia" w:eastAsiaTheme="minorEastAsia" w:cstheme="minorEastAsia"/>
          <w:sz w:val="28"/>
          <w:szCs w:val="28"/>
          <w:lang w:val="en-US" w:eastAsia="zh-CN"/>
        </w:rPr>
        <w:t>成交</w:t>
      </w:r>
      <w:r>
        <w:rPr>
          <w:rFonts w:hint="eastAsia" w:asciiTheme="minorEastAsia" w:hAnsiTheme="minorEastAsia" w:eastAsiaTheme="minorEastAsia" w:cstheme="minorEastAsia"/>
          <w:sz w:val="28"/>
          <w:szCs w:val="28"/>
        </w:rPr>
        <w:t>通知书》</w:t>
      </w:r>
      <w:r>
        <w:rPr>
          <w:rFonts w:hint="eastAsia" w:asciiTheme="minorEastAsia" w:hAnsiTheme="minorEastAsia" w:eastAsiaTheme="minorEastAsia" w:cstheme="minorEastAsia"/>
          <w:sz w:val="28"/>
          <w:szCs w:val="28"/>
          <w:lang w:val="en-US" w:eastAsia="zh-CN"/>
        </w:rPr>
        <w:t>的</w:t>
      </w:r>
      <w:r>
        <w:rPr>
          <w:rFonts w:hint="eastAsia" w:asciiTheme="minorEastAsia" w:hAnsiTheme="minorEastAsia" w:eastAsiaTheme="minorEastAsia" w:cstheme="minorEastAsia"/>
          <w:sz w:val="28"/>
          <w:szCs w:val="28"/>
        </w:rPr>
        <w:t xml:space="preserve">约定，甲乙双方就乙方向甲方提供“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”的技术服务相关事宜，在平等、自愿、公平的基础上，经友好协商达成一致，签订本合同，以兹共同遵守。</w:t>
      </w:r>
    </w:p>
    <w:p w14:paraId="008673E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一、项目名称</w:t>
      </w:r>
    </w:p>
    <w:p w14:paraId="102F7E0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val="en-US" w:eastAsia="zh-CN"/>
        </w:rPr>
        <w:t>曲靖市</w:t>
      </w:r>
      <w:r>
        <w:rPr>
          <w:rFonts w:hint="eastAsia" w:asciiTheme="minorEastAsia" w:hAnsiTheme="minorEastAsia" w:eastAsiaTheme="minorEastAsia" w:cstheme="minorEastAsia"/>
          <w:sz w:val="28"/>
          <w:szCs w:val="28"/>
        </w:rPr>
        <w:t>政府采购电子化交易系统项目</w:t>
      </w:r>
    </w:p>
    <w:p w14:paraId="40C624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二、合同履行期限和地点</w:t>
      </w:r>
    </w:p>
    <w:p w14:paraId="2D663F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履行期限：</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日至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日止。</w:t>
      </w:r>
    </w:p>
    <w:p w14:paraId="7F24ED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履行地点：甲方指定的地点或实际提供服务发生的地点。</w:t>
      </w:r>
    </w:p>
    <w:p w14:paraId="09152F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三、甲乙双方的权利和义务</w:t>
      </w:r>
    </w:p>
    <w:p w14:paraId="4072032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（一）甲方的权利和义务</w:t>
      </w:r>
    </w:p>
    <w:p w14:paraId="5276B02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1.甲方负责合同签订后项目协调工作；</w:t>
      </w:r>
    </w:p>
    <w:p w14:paraId="0BED78D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2.甲方负责提供项目所必</w:t>
      </w:r>
      <w:r>
        <w:rPr>
          <w:rFonts w:hint="eastAsia" w:asciiTheme="minorEastAsia" w:hAnsiTheme="minorEastAsia" w:eastAsiaTheme="minorEastAsia" w:cstheme="minorEastAsia"/>
          <w:sz w:val="28"/>
          <w:szCs w:val="28"/>
          <w:lang w:eastAsia="zh-CN"/>
        </w:rPr>
        <w:t>需</w:t>
      </w:r>
      <w:r>
        <w:rPr>
          <w:rFonts w:hint="eastAsia" w:asciiTheme="minorEastAsia" w:hAnsiTheme="minorEastAsia" w:eastAsiaTheme="minorEastAsia" w:cstheme="minorEastAsia"/>
          <w:sz w:val="28"/>
          <w:szCs w:val="28"/>
        </w:rPr>
        <w:t>的场地和环境；</w:t>
      </w:r>
    </w:p>
    <w:p w14:paraId="1804454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3.甲方负责组织用户（部门单位）对项目成果及服务情况进行验收和考评，并汇总考核结果；</w:t>
      </w:r>
    </w:p>
    <w:p w14:paraId="2CE686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4.甲方按合同规定享有乙方履行本合同后产生的项目成果、知识产权、运维保障、客服服务和培训；</w:t>
      </w:r>
    </w:p>
    <w:p w14:paraId="1B2670BE">
      <w:pPr>
        <w:pStyle w:val="98"/>
        <w:rPr>
          <w:rFonts w:hint="eastAsia" w:eastAsiaTheme="minorEastAsia"/>
          <w:lang w:eastAsia="zh-CN"/>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甲方有权拒付合同价款以外的任何费用</w:t>
      </w:r>
      <w:r>
        <w:rPr>
          <w:rFonts w:hint="eastAsia" w:asciiTheme="minorEastAsia" w:hAnsiTheme="minorEastAsia" w:eastAsiaTheme="minorEastAsia" w:cstheme="minorEastAsia"/>
          <w:sz w:val="28"/>
          <w:szCs w:val="28"/>
          <w:lang w:eastAsia="zh-CN"/>
        </w:rPr>
        <w:t>。</w:t>
      </w:r>
    </w:p>
    <w:p w14:paraId="50C9B7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（二）乙方的权利和义务</w:t>
      </w:r>
    </w:p>
    <w:p w14:paraId="0FC88EF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1.乙方应保证项目成果符合国家及行业相关标准及规定，软硬件系统与甲方现有的相关系统无缝对接并满足甲方工作需要。</w:t>
      </w:r>
    </w:p>
    <w:p w14:paraId="535736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2.乙方应保证按合同规定条款完成甲方项目运维保障、客服服务及培训，并以规定形式向甲方进行书面汇报；</w:t>
      </w:r>
    </w:p>
    <w:p w14:paraId="22BE64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3.乙方应保证在该项目执行过程中，甲方不受第三方提出侵犯其专利权、商标权和其他相关权利的起诉；</w:t>
      </w:r>
    </w:p>
    <w:p w14:paraId="7764CF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4.乙方应严格遵守投标、技术澄清、商务谈判、中标所承诺的一切规定和条款，遵守甲方有关制度、工作纪律、安全规定和保密要求；</w:t>
      </w:r>
    </w:p>
    <w:p w14:paraId="1B87F9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5.乙方应负责准备相关验收、考核资料，配合甲方进行项目验收和运维保障、客服服务、培训考核；</w:t>
      </w:r>
    </w:p>
    <w:p w14:paraId="47782C6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6.乙方应开具付款申请、发票，并收取合同款项；</w:t>
      </w:r>
    </w:p>
    <w:p w14:paraId="46AF7A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7.乙方有权对考核评价结果进行申诉；</w:t>
      </w:r>
    </w:p>
    <w:p w14:paraId="5E4357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8.乙方应配合甲方开展相关业务工作。</w:t>
      </w:r>
    </w:p>
    <w:p w14:paraId="2D9D9490">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rPr>
        <w:t>四、</w:t>
      </w:r>
      <w:r>
        <w:rPr>
          <w:rFonts w:hint="eastAsia" w:asciiTheme="minorEastAsia" w:hAnsiTheme="minorEastAsia" w:eastAsiaTheme="minorEastAsia" w:cstheme="minorEastAsia"/>
          <w:sz w:val="28"/>
          <w:szCs w:val="28"/>
          <w:vertAlign w:val="baseline"/>
        </w:rPr>
        <w:t>运维保障要求：</w:t>
      </w:r>
    </w:p>
    <w:p w14:paraId="0F9A9A07">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1</w:t>
      </w:r>
      <w:r>
        <w:rPr>
          <w:rFonts w:hint="eastAsia" w:asciiTheme="minorEastAsia" w:hAnsiTheme="minorEastAsia" w:eastAsiaTheme="minorEastAsia" w:cstheme="minorEastAsia"/>
          <w:sz w:val="28"/>
          <w:szCs w:val="28"/>
          <w:vertAlign w:val="baseline"/>
        </w:rPr>
        <w:t>.服务可用性：不低于 99.9%（备注：服务可用性是指在一个月内系统无故障的时长（分钟数）与月时长（分钟数）的比率，计算方法为：1-∑（系统故障时长）/（30×24×60）。服务不可用是指因供应商系统内部故障问题导致 10％以上的用</w:t>
      </w:r>
    </w:p>
    <w:p w14:paraId="1ADB6090">
      <w:pPr>
        <w:spacing w:line="360" w:lineRule="auto"/>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户在一段时间内无法正常交易。</w:t>
      </w:r>
    </w:p>
    <w:p w14:paraId="45CD0AA7">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2</w:t>
      </w:r>
      <w:r>
        <w:rPr>
          <w:rFonts w:hint="eastAsia" w:asciiTheme="minorEastAsia" w:hAnsiTheme="minorEastAsia" w:eastAsiaTheme="minorEastAsia" w:cstheme="minorEastAsia"/>
          <w:sz w:val="28"/>
          <w:szCs w:val="28"/>
          <w:vertAlign w:val="baseline"/>
        </w:rPr>
        <w:t>.页面请求平均响应时间：不超过 2 秒钟。（备注：请求响应时间是指用户通过</w:t>
      </w:r>
    </w:p>
    <w:p w14:paraId="32D962D2">
      <w:pPr>
        <w:spacing w:line="360" w:lineRule="auto"/>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web 页面完整发送请求到系统开始算起到用户收到系统给予的响应为止所需要的时长）。</w:t>
      </w:r>
    </w:p>
    <w:p w14:paraId="35DFD3C7">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3</w:t>
      </w:r>
      <w:r>
        <w:rPr>
          <w:rFonts w:hint="eastAsia" w:asciiTheme="minorEastAsia" w:hAnsiTheme="minorEastAsia" w:eastAsiaTheme="minorEastAsia" w:cstheme="minorEastAsia"/>
          <w:sz w:val="28"/>
          <w:szCs w:val="28"/>
          <w:vertAlign w:val="baseline"/>
        </w:rPr>
        <w:t>.</w:t>
      </w:r>
      <w:r>
        <w:rPr>
          <w:rFonts w:hint="eastAsia" w:asciiTheme="minorEastAsia" w:hAnsiTheme="minorEastAsia" w:cstheme="minorEastAsia"/>
          <w:sz w:val="28"/>
          <w:szCs w:val="28"/>
          <w:vertAlign w:val="baseline"/>
          <w:lang w:val="en-US" w:eastAsia="zh-CN"/>
        </w:rPr>
        <w:t>成交</w:t>
      </w:r>
      <w:r>
        <w:rPr>
          <w:rFonts w:hint="eastAsia" w:asciiTheme="minorEastAsia" w:hAnsiTheme="minorEastAsia" w:eastAsiaTheme="minorEastAsia" w:cstheme="minorEastAsia"/>
          <w:sz w:val="28"/>
          <w:szCs w:val="28"/>
          <w:vertAlign w:val="baseline"/>
        </w:rPr>
        <w:t>人应负责消除采购人非人为操作所出现的故障；对因采购人原因或不可抗力以及非</w:t>
      </w:r>
      <w:r>
        <w:rPr>
          <w:rFonts w:hint="eastAsia" w:asciiTheme="minorEastAsia" w:hAnsiTheme="minorEastAsia" w:cstheme="minorEastAsia"/>
          <w:sz w:val="28"/>
          <w:szCs w:val="28"/>
          <w:vertAlign w:val="baseline"/>
          <w:lang w:val="en-US" w:eastAsia="zh-CN"/>
        </w:rPr>
        <w:t>成交</w:t>
      </w:r>
      <w:r>
        <w:rPr>
          <w:rFonts w:hint="eastAsia" w:asciiTheme="minorEastAsia" w:hAnsiTheme="minorEastAsia" w:eastAsiaTheme="minorEastAsia" w:cstheme="minorEastAsia"/>
          <w:sz w:val="28"/>
          <w:szCs w:val="28"/>
          <w:vertAlign w:val="baseline"/>
        </w:rPr>
        <w:t>人控制范围之内的事项引起的故障，投标人需积极协助采购人解决，以避免损失进一步扩大。</w:t>
      </w:r>
    </w:p>
    <w:p w14:paraId="32AB0122">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4</w:t>
      </w:r>
      <w:r>
        <w:rPr>
          <w:rFonts w:hint="eastAsia" w:asciiTheme="minorEastAsia" w:hAnsiTheme="minorEastAsia" w:eastAsiaTheme="minorEastAsia" w:cstheme="minorEastAsia"/>
          <w:sz w:val="28"/>
          <w:szCs w:val="28"/>
          <w:vertAlign w:val="baseline"/>
        </w:rPr>
        <w:t>.</w:t>
      </w:r>
      <w:r>
        <w:rPr>
          <w:rFonts w:hint="eastAsia" w:asciiTheme="minorEastAsia" w:hAnsiTheme="minorEastAsia" w:cstheme="minorEastAsia"/>
          <w:sz w:val="28"/>
          <w:szCs w:val="28"/>
          <w:vertAlign w:val="baseline"/>
          <w:lang w:val="en-US" w:eastAsia="zh-CN"/>
        </w:rPr>
        <w:t>成交</w:t>
      </w:r>
      <w:r>
        <w:rPr>
          <w:rFonts w:hint="eastAsia" w:asciiTheme="minorEastAsia" w:hAnsiTheme="minorEastAsia" w:eastAsiaTheme="minorEastAsia" w:cstheme="minorEastAsia"/>
          <w:sz w:val="28"/>
          <w:szCs w:val="28"/>
          <w:vertAlign w:val="baseline"/>
        </w:rPr>
        <w:t>人应提供 7*24 小时故障支持服务，建立应急处置机制，并有专人负责。一般性问题 2 小时内处理完毕，其他涉及数据及系统 BUG 问题承诺 1 个工作日内处理完毕，突然、紧急问题，应当在采购人规定的时限内处理完毕（不可抗力的情况除外）。</w:t>
      </w:r>
    </w:p>
    <w:p w14:paraId="3CA6D51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5</w:t>
      </w:r>
      <w:r>
        <w:rPr>
          <w:rFonts w:hint="eastAsia" w:asciiTheme="minorEastAsia" w:hAnsiTheme="minorEastAsia" w:eastAsiaTheme="minorEastAsia" w:cstheme="minorEastAsia"/>
          <w:sz w:val="28"/>
          <w:szCs w:val="28"/>
          <w:vertAlign w:val="baseline"/>
        </w:rPr>
        <w:t xml:space="preserve">. </w:t>
      </w:r>
      <w:r>
        <w:rPr>
          <w:rFonts w:hint="eastAsia" w:asciiTheme="minorEastAsia" w:hAnsiTheme="minorEastAsia" w:cstheme="minorEastAsia"/>
          <w:sz w:val="28"/>
          <w:szCs w:val="28"/>
          <w:vertAlign w:val="baseline"/>
          <w:lang w:val="en-US" w:eastAsia="zh-CN"/>
        </w:rPr>
        <w:t>成交</w:t>
      </w:r>
      <w:r>
        <w:rPr>
          <w:rFonts w:hint="eastAsia" w:asciiTheme="minorEastAsia" w:hAnsiTheme="minorEastAsia" w:eastAsiaTheme="minorEastAsia" w:cstheme="minorEastAsia"/>
          <w:sz w:val="28"/>
          <w:szCs w:val="28"/>
          <w:vertAlign w:val="baseline"/>
        </w:rPr>
        <w:t>人应根据国家和云南省的相关法律、法规、政策要求，</w:t>
      </w:r>
      <w:r>
        <w:rPr>
          <w:rFonts w:hint="eastAsia" w:asciiTheme="minorEastAsia" w:hAnsiTheme="minorEastAsia" w:cstheme="minorEastAsia"/>
          <w:sz w:val="28"/>
          <w:szCs w:val="28"/>
          <w:vertAlign w:val="baseline"/>
          <w:lang w:val="en-US" w:eastAsia="zh-CN"/>
        </w:rPr>
        <w:t>负责</w:t>
      </w:r>
      <w:r>
        <w:rPr>
          <w:rFonts w:hint="eastAsia" w:asciiTheme="minorEastAsia" w:hAnsiTheme="minorEastAsia" w:eastAsiaTheme="minorEastAsia" w:cstheme="minorEastAsia"/>
          <w:sz w:val="28"/>
          <w:szCs w:val="28"/>
          <w:vertAlign w:val="baseline"/>
        </w:rPr>
        <w:t>运维保障</w:t>
      </w:r>
      <w:r>
        <w:rPr>
          <w:rFonts w:hint="eastAsia" w:asciiTheme="minorEastAsia" w:hAnsiTheme="minorEastAsia" w:cstheme="minorEastAsia"/>
          <w:sz w:val="28"/>
          <w:szCs w:val="28"/>
          <w:vertAlign w:val="baseline"/>
          <w:lang w:eastAsia="zh-CN"/>
        </w:rPr>
        <w:t>，</w:t>
      </w:r>
      <w:r>
        <w:rPr>
          <w:rFonts w:hint="eastAsia" w:asciiTheme="minorEastAsia" w:hAnsiTheme="minorEastAsia" w:eastAsiaTheme="minorEastAsia" w:cstheme="minorEastAsia"/>
          <w:sz w:val="28"/>
          <w:szCs w:val="28"/>
          <w:vertAlign w:val="baseline"/>
        </w:rPr>
        <w:t>不得将运维保障服务工作进行转包或分包给其他第三方公司进行操作。</w:t>
      </w:r>
    </w:p>
    <w:p w14:paraId="68B38866">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五、系统建设</w:t>
      </w:r>
      <w:r>
        <w:rPr>
          <w:rFonts w:hint="eastAsia" w:asciiTheme="minorEastAsia" w:hAnsiTheme="minorEastAsia" w:eastAsiaTheme="minorEastAsia" w:cstheme="minorEastAsia"/>
          <w:sz w:val="28"/>
          <w:szCs w:val="28"/>
          <w:vertAlign w:val="baseline"/>
        </w:rPr>
        <w:t>服务要求：</w:t>
      </w:r>
    </w:p>
    <w:p w14:paraId="73D3C8D7">
      <w:pPr>
        <w:numPr>
          <w:ilvl w:val="0"/>
          <w:numId w:val="0"/>
        </w:numPr>
        <w:spacing w:line="360" w:lineRule="auto"/>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cstheme="minorEastAsia"/>
          <w:sz w:val="28"/>
          <w:szCs w:val="28"/>
          <w:vertAlign w:val="baseline"/>
          <w:lang w:val="en-US" w:eastAsia="zh-CN"/>
        </w:rPr>
        <w:t xml:space="preserve">    1.成交</w:t>
      </w:r>
      <w:r>
        <w:rPr>
          <w:rFonts w:hint="eastAsia" w:asciiTheme="minorEastAsia" w:hAnsiTheme="minorEastAsia" w:eastAsiaTheme="minorEastAsia" w:cstheme="minorEastAsia"/>
          <w:sz w:val="28"/>
          <w:szCs w:val="28"/>
          <w:vertAlign w:val="baseline"/>
        </w:rPr>
        <w:t>人须</w:t>
      </w:r>
      <w:r>
        <w:rPr>
          <w:rFonts w:hint="eastAsia" w:asciiTheme="minorEastAsia" w:hAnsiTheme="minorEastAsia" w:cstheme="minorEastAsia"/>
          <w:sz w:val="28"/>
          <w:szCs w:val="28"/>
          <w:vertAlign w:val="baseline"/>
          <w:lang w:val="en-US" w:eastAsia="zh-CN"/>
        </w:rPr>
        <w:t>按国家规定和采购人的特定要求</w:t>
      </w:r>
      <w:r>
        <w:rPr>
          <w:rFonts w:hint="eastAsia" w:asciiTheme="minorEastAsia" w:hAnsiTheme="minorEastAsia" w:eastAsiaTheme="minorEastAsia" w:cstheme="minorEastAsia"/>
          <w:sz w:val="28"/>
          <w:szCs w:val="28"/>
          <w:vertAlign w:val="baseline"/>
        </w:rPr>
        <w:t>提供</w:t>
      </w:r>
      <w:r>
        <w:rPr>
          <w:rFonts w:hint="eastAsia" w:asciiTheme="minorEastAsia" w:hAnsiTheme="minorEastAsia" w:cstheme="minorEastAsia"/>
          <w:sz w:val="28"/>
          <w:szCs w:val="28"/>
          <w:vertAlign w:val="baseline"/>
          <w:lang w:val="en-US" w:eastAsia="zh-CN"/>
        </w:rPr>
        <w:t>系统开发服务。</w:t>
      </w:r>
    </w:p>
    <w:p w14:paraId="4C2558A0">
      <w:pPr>
        <w:numPr>
          <w:ilvl w:val="0"/>
          <w:numId w:val="0"/>
        </w:num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2.提供 5*8 小时的专职驻场人员服务（驻场地点：</w:t>
      </w:r>
      <w:r>
        <w:rPr>
          <w:rFonts w:hint="eastAsia" w:asciiTheme="minorEastAsia" w:hAnsiTheme="minorEastAsia" w:cstheme="minorEastAsia"/>
          <w:sz w:val="28"/>
          <w:szCs w:val="28"/>
          <w:vertAlign w:val="baseline"/>
          <w:lang w:val="en-US" w:eastAsia="zh-CN"/>
        </w:rPr>
        <w:t>曲靖市财政局</w:t>
      </w:r>
      <w:r>
        <w:rPr>
          <w:rFonts w:hint="eastAsia" w:asciiTheme="minorEastAsia" w:hAnsiTheme="minorEastAsia" w:eastAsiaTheme="minorEastAsia" w:cstheme="minorEastAsia"/>
          <w:sz w:val="28"/>
          <w:szCs w:val="28"/>
          <w:vertAlign w:val="baseline"/>
        </w:rPr>
        <w:t>），包括现场问题处理、系统操作指导、热线接听等。</w:t>
      </w:r>
    </w:p>
    <w:p w14:paraId="62B68796">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3.提供应用配置、站点创建、用户信息设置、配置初始化、采购目录初始化等系统初始化服务，以及部署方案、规则梳理、用户体系梳理、交易问题处理等运营管理服务。</w:t>
      </w:r>
    </w:p>
    <w:p w14:paraId="44A6A14C">
      <w:pPr>
        <w:spacing w:line="360" w:lineRule="auto"/>
        <w:ind w:firstLine="560" w:firstLineChars="200"/>
        <w:jc w:val="left"/>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rPr>
        <w:t>4.提供 5*8 小时（指工作日，周一至周五，节假日除外）的客户热线/在线服务，解答用户在使用中的问题。</w:t>
      </w:r>
    </w:p>
    <w:p w14:paraId="62B5F9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六、</w:t>
      </w:r>
      <w:r>
        <w:rPr>
          <w:rFonts w:hint="eastAsia" w:asciiTheme="minorEastAsia" w:hAnsiTheme="minorEastAsia" w:eastAsiaTheme="minorEastAsia" w:cstheme="minorEastAsia"/>
          <w:sz w:val="28"/>
          <w:szCs w:val="28"/>
        </w:rPr>
        <w:t>项目成果、考核及要求</w:t>
      </w:r>
    </w:p>
    <w:p w14:paraId="1054501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（一）项目成果</w:t>
      </w:r>
    </w:p>
    <w:p w14:paraId="0C2481B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乙方为甲方提供项目成果</w:t>
      </w:r>
      <w:r>
        <w:rPr>
          <w:rFonts w:hint="eastAsia" w:asciiTheme="minorEastAsia" w:hAnsiTheme="minorEastAsia" w:cstheme="minorEastAsia"/>
          <w:sz w:val="28"/>
          <w:szCs w:val="28"/>
          <w:lang w:val="en-US" w:eastAsia="zh-CN"/>
        </w:rPr>
        <w:t>曲靖市</w:t>
      </w:r>
      <w:r>
        <w:rPr>
          <w:rFonts w:hint="eastAsia" w:asciiTheme="minorEastAsia" w:hAnsiTheme="minorEastAsia" w:eastAsiaTheme="minorEastAsia" w:cstheme="minorEastAsia"/>
          <w:sz w:val="28"/>
          <w:szCs w:val="28"/>
        </w:rPr>
        <w:t>政府采购电子化交易系统其相关知识产权。</w:t>
      </w:r>
    </w:p>
    <w:p w14:paraId="73F65E7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（二）服务考核</w:t>
      </w:r>
    </w:p>
    <w:p w14:paraId="56F9EB5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服务期间，甲方根据系统运维保障、客服服务和培训情况，对乙方进行考核评价。</w:t>
      </w:r>
    </w:p>
    <w:p w14:paraId="2626D7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（三）其他要求</w:t>
      </w:r>
    </w:p>
    <w:p w14:paraId="46830D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未取得甲方书面许可，不得将项目（包括运维保障服务工作）转包或分包给其他第三方，如因擅自将项目（包括运维保障服务工作）转包或分包给其他第三方，甲方有权终止合同不支付剩余合同价款，乙方除应全额返还甲方已支付合同价款外还应赔偿由此给甲方造成的损失（包括但不限于甲方另行聘请第三方的费用、因项目延误或不能完成产生的其他一切费用等）。</w:t>
      </w:r>
    </w:p>
    <w:p w14:paraId="0241566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七</w:t>
      </w:r>
      <w:r>
        <w:rPr>
          <w:rFonts w:hint="eastAsia" w:asciiTheme="minorEastAsia" w:hAnsiTheme="minorEastAsia" w:eastAsiaTheme="minorEastAsia" w:cstheme="minorEastAsia"/>
          <w:sz w:val="28"/>
          <w:szCs w:val="28"/>
        </w:rPr>
        <w:t>、验收要求：</w:t>
      </w:r>
    </w:p>
    <w:p w14:paraId="3010FA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1.项目验收申请：系统部署上线后，乙方向甲方提出项目验收申请。</w:t>
      </w:r>
    </w:p>
    <w:p w14:paraId="2E125B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2.项目验收：甲方收到乙方书面项目验收申请后的 15 个工作日内，组织双方人员进行验收，验收通过后签署《采购项目验收报告表》。</w:t>
      </w:r>
    </w:p>
    <w:p w14:paraId="4427220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验收标准：甲方根据合同、招标文件、投标文件和甲方相关规定组织验收，在本期项目的开发过程中和交付使用后，要求乙方完成合同中所有的项目并将各个阶段产生的全面、规范的成果和文档资料交付给甲方，而且需要提供明确的交付清单。同时，成果和文档资料必须符合软件工程的相关要求。要交付的成果和文档资料需要包括以下部分：</w:t>
      </w:r>
    </w:p>
    <w:p w14:paraId="5273D7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1）可运行的完整系统</w:t>
      </w:r>
    </w:p>
    <w:p w14:paraId="64AC32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2）技术文档</w:t>
      </w:r>
    </w:p>
    <w:p w14:paraId="6178DF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包括项目开发中的各种技术文档，如开发环境配置说明、软件工具清单、需求分析说明、</w:t>
      </w:r>
    </w:p>
    <w:p w14:paraId="5B0328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变更说明、系统设计说明、用户手册、测试用例、测试结果、系统维护说明、系统培训资料以及有关系统接口的技术说明等。</w:t>
      </w:r>
    </w:p>
    <w:p w14:paraId="2D9B56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3）管理文档</w:t>
      </w:r>
    </w:p>
    <w:p w14:paraId="360D33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包括项目开发中的一些工作文档，如，计划、报告、讨论纲要、会议记录等。</w:t>
      </w:r>
    </w:p>
    <w:p w14:paraId="4FBBA5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八</w:t>
      </w:r>
      <w:r>
        <w:rPr>
          <w:rFonts w:hint="eastAsia" w:asciiTheme="minorEastAsia" w:hAnsiTheme="minorEastAsia" w:eastAsiaTheme="minorEastAsia" w:cstheme="minorEastAsia"/>
          <w:sz w:val="28"/>
          <w:szCs w:val="28"/>
        </w:rPr>
        <w:t>、合同价款结算</w:t>
      </w:r>
    </w:p>
    <w:p w14:paraId="5E557C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合同价款为人民币小写：￥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元，大写：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整。</w:t>
      </w:r>
      <w:r>
        <w:rPr>
          <w:rFonts w:hint="eastAsia" w:asciiTheme="minorEastAsia" w:hAnsiTheme="minorEastAsia" w:cstheme="minorEastAsia"/>
          <w:sz w:val="28"/>
          <w:szCs w:val="28"/>
          <w:lang w:val="en-US" w:eastAsia="zh-CN"/>
        </w:rPr>
        <w:t>于</w:t>
      </w:r>
      <w:r>
        <w:rPr>
          <w:rFonts w:hint="eastAsia" w:asciiTheme="minorEastAsia" w:hAnsiTheme="minorEastAsia" w:eastAsiaTheme="minorEastAsia" w:cstheme="minorEastAsia"/>
          <w:sz w:val="28"/>
          <w:szCs w:val="28"/>
        </w:rPr>
        <w:t>项目验收通过后 15 个工作日内甲方向乙方支付。</w:t>
      </w:r>
    </w:p>
    <w:p w14:paraId="0B26E2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一切费用均使用人民币结算及支付。甲方向乙方付款，同时乙方应出具相应发票，甲乙双方对有关商业发票、结算票据一致认同，甲方取得发票不代表甲方款项已付清，款项已付清以甲方款项全部到达乙方开户账户为准。</w:t>
      </w:r>
    </w:p>
    <w:p w14:paraId="4052ECD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本合同项下款项支付至乙方指定的以下账户：</w:t>
      </w:r>
    </w:p>
    <w:p w14:paraId="77977DF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rPr>
        <w:t>开户名称：</w:t>
      </w:r>
      <w:r>
        <w:rPr>
          <w:rFonts w:hint="eastAsia" w:asciiTheme="minorEastAsia" w:hAnsiTheme="minorEastAsia" w:eastAsiaTheme="minorEastAsia" w:cstheme="minorEastAsia"/>
          <w:sz w:val="28"/>
          <w:szCs w:val="28"/>
          <w:u w:val="single"/>
          <w:lang w:val="en-US" w:eastAsia="zh-CN"/>
        </w:rPr>
        <w:t xml:space="preserve">                                 </w:t>
      </w:r>
    </w:p>
    <w:p w14:paraId="0ACB39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开户银行：</w:t>
      </w:r>
      <w:r>
        <w:rPr>
          <w:rFonts w:hint="eastAsia" w:asciiTheme="minorEastAsia" w:hAnsiTheme="minorEastAsia" w:eastAsiaTheme="minorEastAsia" w:cstheme="minorEastAsia"/>
          <w:sz w:val="28"/>
          <w:szCs w:val="28"/>
          <w:u w:val="single"/>
          <w:lang w:val="en-US" w:eastAsia="zh-CN"/>
        </w:rPr>
        <w:t xml:space="preserve">                                 </w:t>
      </w:r>
    </w:p>
    <w:p w14:paraId="25FAE4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sz w:val="28"/>
          <w:szCs w:val="28"/>
        </w:rPr>
        <w:t xml:space="preserve">账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号：</w:t>
      </w:r>
      <w:r>
        <w:rPr>
          <w:rFonts w:hint="eastAsia" w:asciiTheme="minorEastAsia" w:hAnsiTheme="minorEastAsia" w:eastAsiaTheme="minorEastAsia" w:cstheme="minorEastAsia"/>
          <w:sz w:val="28"/>
          <w:szCs w:val="28"/>
          <w:u w:val="single"/>
          <w:lang w:val="en-US" w:eastAsia="zh-CN"/>
        </w:rPr>
        <w:t xml:space="preserve">                                 </w:t>
      </w:r>
    </w:p>
    <w:p w14:paraId="37DD78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九</w:t>
      </w:r>
      <w:r>
        <w:rPr>
          <w:rFonts w:hint="eastAsia" w:asciiTheme="minorEastAsia" w:hAnsiTheme="minorEastAsia" w:eastAsiaTheme="minorEastAsia" w:cstheme="minorEastAsia"/>
          <w:sz w:val="28"/>
          <w:szCs w:val="28"/>
        </w:rPr>
        <w:t>、违约责任</w:t>
      </w:r>
    </w:p>
    <w:p w14:paraId="6FD030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本合同的订立、生效与解释均适用中华人民共和国法律。本合同履行过程中甲乙双方任何一方违约，对方有权通知其在七日内予以更正，违约方应承担相应的违约责任，并承担因违约</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给对方造成的损失。因乙方违约导致甲方因诉讼、维权而产生的立案费、律师费、交通费、保全费等均由乙方负责。</w:t>
      </w:r>
    </w:p>
    <w:p w14:paraId="389CB11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（一）甲方的违约责任</w:t>
      </w:r>
    </w:p>
    <w:p w14:paraId="156C21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甲方未按合同规定时间付款，每延迟 30 个工作日，按延迟部分的 1%向乙方支付违约金，总的违约金不得超过合同价款的 5%。</w:t>
      </w:r>
    </w:p>
    <w:p w14:paraId="1A2D394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（二）乙方的违约责任</w:t>
      </w:r>
    </w:p>
    <w:p w14:paraId="48D3EB3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不能按合同约定提供项目成果（包括知识产权）或服务质量达不到甲方要求或向甲方提供的产品（服务）侵犯第三方的专利权、商标权和其他相关权利，以及由于乙方原因造成本项目延误或发生其他使合同无法履行的行为，均视为乙方违约，甲方有权解除合同，乙方应向甲方支付合同价款 10%的违约金，并全额返还甲方已支付款项。</w:t>
      </w:r>
    </w:p>
    <w:p w14:paraId="0150453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乙方应保障系统的正常运行，若甲方或甲方有关部门在使用过程中发生故障，乙方应在 2</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小时内排除故障，否则每次扣除合同价款 1%。违反 5 次甲方有权解除合同，乙方应向甲方支付不超过 10 万元的违约金，并全额返还甲方已支付款项。乙方违反甲方有关工作规定的，乙方应负责赔偿相关损失，并向甲方支付不超过 10 万元的违约金。</w:t>
      </w:r>
    </w:p>
    <w:p w14:paraId="624456E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十</w:t>
      </w:r>
      <w:r>
        <w:rPr>
          <w:rFonts w:hint="eastAsia" w:asciiTheme="minorEastAsia" w:hAnsiTheme="minorEastAsia" w:eastAsiaTheme="minorEastAsia" w:cstheme="minorEastAsia"/>
          <w:sz w:val="28"/>
          <w:szCs w:val="28"/>
        </w:rPr>
        <w:t>、知识产权归属</w:t>
      </w:r>
    </w:p>
    <w:p w14:paraId="10715C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1.对于开发建设的系统拥有独立知识产权，保证提供用于支持本项目运行的软硬件均为正版。</w:t>
      </w:r>
    </w:p>
    <w:p w14:paraId="6E2F6B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在项目期间内，为实现系统功能而完成的文件及服务成果（包括但不限于阶段性、过程性成果等相关资料），其所有权终身归甲方所有。除公安机关、法院、检察院及其相关政府部门依法要求查阅外，任何部门和个人（包括本项目供应商）需要查阅的，应向甲方提出申请，经甲方同意后可以查询与其有关的材料（涉密数据除甲方外，任何人不得查阅）。</w:t>
      </w:r>
    </w:p>
    <w:p w14:paraId="162C7C3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系统产生的管理、交易数据产权归甲方所有。本项目在后续运行使用过程中，按程序重新选定系统供应商的，原系统供应商应当在撤离本项目前，向甲方移交所有系统数据，并且提供相应的系统工具，供甲方查询维护历史数据。</w:t>
      </w:r>
    </w:p>
    <w:p w14:paraId="58E876C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十一</w:t>
      </w:r>
      <w:r>
        <w:rPr>
          <w:rFonts w:hint="eastAsia" w:asciiTheme="minorEastAsia" w:hAnsiTheme="minorEastAsia" w:eastAsiaTheme="minorEastAsia" w:cstheme="minorEastAsia"/>
          <w:sz w:val="28"/>
          <w:szCs w:val="28"/>
        </w:rPr>
        <w:t>、不可抗力和免责条款</w:t>
      </w:r>
    </w:p>
    <w:p w14:paraId="360A50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由于战争、暴乱、自然灾害、政变、罢工、传染疾病、国家法律变化和政府行为等不能预见、不能避免并不能克服的客观情况影响本合同的履行时，遇有上述不可抗力的一方应立即以传真、电报等书面形式通知对方，并在 15 日之内提供不可抗力的详细情况及合同不能履行，或者部分不能履行，或者需要延期履行的理由和相关部门出具的证明文件。按不可抗力对履行合同影响的程度，由双方协商决定是否解除合同，或者部分免除履行合同的义务，或者延期履行合同。一方迟延履行本合同时发生不可抗力的，迟延方的合同义务不能免除。</w:t>
      </w:r>
    </w:p>
    <w:p w14:paraId="0E72F62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受到不可抗力影响的一方，应尽可能地及时采取合理的措施，减轻不可抗力对本合同的履行所造成的影响。没有采取适当措施致使损失扩大的，该方不得就扩大损失的部分要求免责或赔偿。</w:t>
      </w:r>
    </w:p>
    <w:p w14:paraId="2057644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如果因不可抗力影响本合同履行的，双方应对本合同的有关内容进行重新协商，进一步达成一个延期或终止执行本合同的协议。</w:t>
      </w:r>
    </w:p>
    <w:p w14:paraId="317A5C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w:t>
      </w:r>
      <w:r>
        <w:rPr>
          <w:rFonts w:hint="eastAsia" w:asciiTheme="minorEastAsia" w:hAnsiTheme="minorEastAsia" w:cstheme="minorEastAsia"/>
          <w:sz w:val="28"/>
          <w:szCs w:val="28"/>
          <w:lang w:val="en-US" w:eastAsia="zh-CN"/>
        </w:rPr>
        <w:t>二</w:t>
      </w:r>
      <w:r>
        <w:rPr>
          <w:rFonts w:hint="eastAsia" w:asciiTheme="minorEastAsia" w:hAnsiTheme="minorEastAsia" w:eastAsiaTheme="minorEastAsia" w:cstheme="minorEastAsia"/>
          <w:sz w:val="28"/>
          <w:szCs w:val="28"/>
        </w:rPr>
        <w:t>、争议处理</w:t>
      </w:r>
    </w:p>
    <w:p w14:paraId="080EA16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甲乙双方应按照诚实守信的原则严格履行合同。在履行合同过程中发生纠纷，应及时向有关监督管理部门反映或投诉，以便相关部门进行协调或处理；或直接向甲方住所地有管辖权的人民法院提起诉讼。</w:t>
      </w:r>
    </w:p>
    <w:p w14:paraId="5B71ED1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十一、合同生效及其他</w:t>
      </w:r>
    </w:p>
    <w:p w14:paraId="55BAAB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1.本合同的所有附件为本合同不可分割的组成部分，与合同正文具有同等效力。双方签订的补充协议以及修改或变更的条款与本合同具有同等法律效力。若有不一致之处，以时间在后者为准。</w:t>
      </w:r>
    </w:p>
    <w:p w14:paraId="27090EF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2.如在合同期内甲方业务发生重大变化、系统发生重大功能性改变导致工作量过大等情况，乙方可向甲方提交新增工作量确认单，经甲方确认，由双方共同协商解决。</w:t>
      </w:r>
    </w:p>
    <w:p w14:paraId="1858BB0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3.本合同自</w:t>
      </w:r>
      <w:r>
        <w:rPr>
          <w:rFonts w:hint="eastAsia" w:asciiTheme="minorEastAsia" w:hAnsiTheme="minorEastAsia" w:eastAsiaTheme="minorEastAsia" w:cstheme="minorEastAsia"/>
          <w:sz w:val="28"/>
          <w:szCs w:val="28"/>
          <w:u w:val="single"/>
          <w:lang w:val="en-US" w:eastAsia="zh-CN"/>
        </w:rPr>
        <w:t>双</w:t>
      </w:r>
      <w:r>
        <w:rPr>
          <w:rFonts w:hint="eastAsia" w:asciiTheme="minorEastAsia" w:hAnsiTheme="minorEastAsia" w:eastAsiaTheme="minorEastAsia" w:cstheme="minorEastAsia"/>
          <w:sz w:val="28"/>
          <w:szCs w:val="28"/>
          <w:u w:val="single"/>
        </w:rPr>
        <w:t>方共同签订</w:t>
      </w:r>
      <w:r>
        <w:rPr>
          <w:rFonts w:hint="eastAsia" w:asciiTheme="minorEastAsia" w:hAnsiTheme="minorEastAsia" w:eastAsiaTheme="minorEastAsia" w:cstheme="minorEastAsia"/>
          <w:sz w:val="28"/>
          <w:szCs w:val="28"/>
        </w:rPr>
        <w:t>之日起生效。</w:t>
      </w:r>
    </w:p>
    <w:p w14:paraId="667ADF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4.本合同不可分割之部分：招标文件、人的</w:t>
      </w:r>
      <w:r>
        <w:rPr>
          <w:rFonts w:hint="eastAsia" w:asciiTheme="minorEastAsia" w:hAnsiTheme="minorEastAsia" w:cstheme="minorEastAsia"/>
          <w:sz w:val="28"/>
          <w:szCs w:val="28"/>
          <w:lang w:val="en-US" w:eastAsia="zh-CN"/>
        </w:rPr>
        <w:t>响应</w:t>
      </w:r>
      <w:r>
        <w:rPr>
          <w:rFonts w:hint="eastAsia" w:asciiTheme="minorEastAsia" w:hAnsiTheme="minorEastAsia" w:eastAsiaTheme="minorEastAsia" w:cstheme="minorEastAsia"/>
          <w:sz w:val="28"/>
          <w:szCs w:val="28"/>
        </w:rPr>
        <w:t>文件、中标通知书、合同书附件。</w:t>
      </w:r>
    </w:p>
    <w:p w14:paraId="50F1CA7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pPr>
      <w:r>
        <w:rPr>
          <w:rFonts w:hint="eastAsia" w:asciiTheme="minorEastAsia" w:hAnsiTheme="minorEastAsia" w:eastAsiaTheme="minorEastAsia" w:cstheme="minorEastAsia"/>
          <w:sz w:val="28"/>
          <w:szCs w:val="28"/>
        </w:rPr>
        <w:t>5.本合同一式</w:t>
      </w:r>
      <w:r>
        <w:rPr>
          <w:rFonts w:hint="eastAsia" w:asciiTheme="minorEastAsia" w:hAnsiTheme="minorEastAsia" w:cstheme="minorEastAsia"/>
          <w:sz w:val="28"/>
          <w:szCs w:val="28"/>
          <w:lang w:val="en-US" w:eastAsia="zh-CN"/>
        </w:rPr>
        <w:t>六</w:t>
      </w:r>
      <w:r>
        <w:rPr>
          <w:rFonts w:hint="eastAsia" w:asciiTheme="minorEastAsia" w:hAnsiTheme="minorEastAsia" w:eastAsiaTheme="minorEastAsia" w:cstheme="minorEastAsia"/>
          <w:sz w:val="28"/>
          <w:szCs w:val="28"/>
        </w:rPr>
        <w:t>份，甲方三份，乙方三份（含用于结算支付的一份）。</w:t>
      </w:r>
    </w:p>
    <w:p w14:paraId="01689E0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sz w:val="32"/>
          <w:szCs w:val="32"/>
          <w:lang w:val="en-US" w:eastAsia="zh-CN"/>
        </w:rPr>
      </w:pPr>
    </w:p>
    <w:p w14:paraId="198CFA7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sz w:val="32"/>
          <w:szCs w:val="32"/>
          <w:lang w:val="en-US" w:eastAsia="zh-CN"/>
        </w:rPr>
      </w:pPr>
    </w:p>
    <w:p w14:paraId="3694836A">
      <w:pPr>
        <w:pStyle w:val="98"/>
        <w:rPr>
          <w:rFonts w:hint="default"/>
          <w:sz w:val="32"/>
          <w:szCs w:val="32"/>
          <w:lang w:val="en-US" w:eastAsia="zh-CN"/>
        </w:rPr>
      </w:pPr>
    </w:p>
    <w:p w14:paraId="6379D26C">
      <w:pPr>
        <w:pStyle w:val="98"/>
        <w:rPr>
          <w:rFonts w:hint="default"/>
          <w:sz w:val="32"/>
          <w:szCs w:val="32"/>
          <w:lang w:val="en-US" w:eastAsia="zh-CN"/>
        </w:rPr>
      </w:pPr>
    </w:p>
    <w:p w14:paraId="516AF75F">
      <w:pPr>
        <w:rPr>
          <w:rFonts w:hint="default"/>
          <w:lang w:val="en-US" w:eastAsia="zh-CN"/>
        </w:rPr>
      </w:pPr>
    </w:p>
    <w:p w14:paraId="0CC542FD">
      <w:pPr>
        <w:pStyle w:val="21"/>
        <w:numPr>
          <w:ilvl w:val="0"/>
          <w:numId w:val="7"/>
        </w:numPr>
        <w:jc w:val="center"/>
        <w:outlineLvl w:val="0"/>
        <w:rPr>
          <w:rFonts w:hint="eastAsia" w:ascii="方正小标宋_GBK" w:hAnsi="方正小标宋_GBK" w:eastAsia="方正小标宋_GBK" w:cs="方正小标宋_GBK"/>
          <w:b w:val="0"/>
          <w:bCs/>
          <w:sz w:val="44"/>
          <w:szCs w:val="44"/>
        </w:rPr>
      </w:pPr>
      <w:bookmarkStart w:id="59" w:name="_Toc25077"/>
      <w:bookmarkStart w:id="60" w:name="_Toc8299"/>
      <w:r>
        <w:rPr>
          <w:rFonts w:hint="eastAsia" w:ascii="方正小标宋_GBK" w:hAnsi="方正小标宋_GBK" w:eastAsia="方正小标宋_GBK" w:cs="方正小标宋_GBK"/>
          <w:b w:val="0"/>
          <w:bCs/>
          <w:sz w:val="44"/>
          <w:szCs w:val="44"/>
        </w:rPr>
        <w:t xml:space="preserve">  响应文件格式</w:t>
      </w:r>
      <w:bookmarkEnd w:id="59"/>
      <w:bookmarkEnd w:id="60"/>
    </w:p>
    <w:p w14:paraId="2BB1BB29">
      <w:pPr>
        <w:numPr>
          <w:ilvl w:val="0"/>
          <w:numId w:val="0"/>
        </w:numPr>
        <w:rPr>
          <w:rFonts w:hint="eastAsia"/>
          <w:b w:val="0"/>
          <w:bCs/>
        </w:rPr>
      </w:pPr>
    </w:p>
    <w:p w14:paraId="0B118470">
      <w:pPr>
        <w:pStyle w:val="21"/>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1"/>
        <w:rPr>
          <w:rFonts w:hint="eastAsia" w:ascii="方正仿宋_GBK" w:hAnsi="方正仿宋_GBK" w:eastAsia="方正仿宋_GBK" w:cs="方正仿宋_GBK"/>
          <w:b w:val="0"/>
          <w:bCs/>
          <w:sz w:val="32"/>
          <w:szCs w:val="32"/>
        </w:rPr>
      </w:pPr>
      <w:bookmarkStart w:id="61" w:name="_Toc26226"/>
      <w:bookmarkStart w:id="62" w:name="_Toc6924"/>
      <w:r>
        <w:rPr>
          <w:rFonts w:hint="eastAsia" w:ascii="方正黑体_GBK" w:hAnsi="方正黑体_GBK" w:eastAsia="方正黑体_GBK" w:cs="方正黑体_GBK"/>
          <w:b w:val="0"/>
          <w:bCs/>
          <w:sz w:val="32"/>
          <w:szCs w:val="32"/>
        </w:rPr>
        <w:t>一、响应说明</w:t>
      </w:r>
      <w:bookmarkEnd w:id="61"/>
      <w:bookmarkEnd w:id="62"/>
    </w:p>
    <w:p w14:paraId="403F6B8A">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u w:val="single"/>
          <w:lang w:val="en-US" w:eastAsia="zh-CN"/>
        </w:rPr>
      </w:pPr>
      <w:r>
        <w:rPr>
          <w:rFonts w:hint="eastAsia" w:ascii="方正仿宋_GBK" w:hAnsi="方正仿宋_GBK" w:eastAsia="方正仿宋_GBK" w:cs="方正仿宋_GBK"/>
          <w:b w:val="0"/>
          <w:bCs/>
          <w:sz w:val="32"/>
          <w:szCs w:val="32"/>
        </w:rPr>
        <w:t xml:space="preserve">   </w:t>
      </w:r>
      <w:r>
        <w:rPr>
          <w:rFonts w:hint="default" w:ascii="Times New Roman" w:hAnsi="Times New Roman" w:eastAsia="方正仿宋_GBK" w:cs="Times New Roman"/>
          <w:b w:val="0"/>
          <w:bCs/>
          <w:sz w:val="32"/>
          <w:szCs w:val="32"/>
        </w:rPr>
        <w:t xml:space="preserve">                             采购编号：</w:t>
      </w:r>
      <w:r>
        <w:rPr>
          <w:rFonts w:hint="default" w:ascii="Times New Roman" w:hAnsi="Times New Roman" w:eastAsia="方正仿宋_GBK" w:cs="Times New Roman"/>
          <w:b w:val="0"/>
          <w:bCs/>
          <w:sz w:val="32"/>
          <w:szCs w:val="32"/>
          <w:u w:val="single"/>
        </w:rPr>
        <w:t xml:space="preserve"> QJ</w:t>
      </w:r>
      <w:r>
        <w:rPr>
          <w:rFonts w:hint="eastAsia" w:ascii="Times New Roman" w:hAnsi="Times New Roman" w:eastAsia="方正仿宋_GBK" w:cs="Times New Roman"/>
          <w:b w:val="0"/>
          <w:bCs/>
          <w:sz w:val="32"/>
          <w:szCs w:val="32"/>
          <w:u w:val="single"/>
          <w:lang w:val="en-US" w:eastAsia="zh-CN"/>
        </w:rPr>
        <w:t>CZ</w:t>
      </w:r>
      <w:r>
        <w:rPr>
          <w:rFonts w:hint="default" w:ascii="Times New Roman" w:hAnsi="Times New Roman" w:eastAsia="方正仿宋_GBK" w:cs="Times New Roman"/>
          <w:b w:val="0"/>
          <w:bCs/>
          <w:sz w:val="32"/>
          <w:szCs w:val="32"/>
          <w:u w:val="single"/>
        </w:rPr>
        <w:t>-</w:t>
      </w:r>
      <w:r>
        <w:rPr>
          <w:rFonts w:hint="eastAsia" w:ascii="Times New Roman" w:hAnsi="Times New Roman" w:eastAsia="方正仿宋_GBK" w:cs="Times New Roman"/>
          <w:b w:val="0"/>
          <w:bCs/>
          <w:sz w:val="32"/>
          <w:szCs w:val="32"/>
          <w:u w:val="single"/>
          <w:lang w:val="en-US" w:eastAsia="zh-CN"/>
        </w:rPr>
        <w:t>JZX</w:t>
      </w:r>
      <w:r>
        <w:rPr>
          <w:rFonts w:hint="default" w:ascii="Times New Roman" w:hAnsi="Times New Roman" w:eastAsia="方正仿宋_GBK" w:cs="Times New Roman"/>
          <w:b w:val="0"/>
          <w:bCs/>
          <w:sz w:val="32"/>
          <w:szCs w:val="32"/>
          <w:u w:val="single"/>
        </w:rPr>
        <w:t>CS20</w:t>
      </w:r>
      <w:r>
        <w:rPr>
          <w:rFonts w:hint="default" w:ascii="Times New Roman" w:hAnsi="Times New Roman" w:eastAsia="方正仿宋_GBK" w:cs="Times New Roman"/>
          <w:b w:val="0"/>
          <w:bCs/>
          <w:sz w:val="32"/>
          <w:szCs w:val="32"/>
          <w:u w:val="single"/>
          <w:lang w:val="en-US" w:eastAsia="zh-CN"/>
        </w:rPr>
        <w:t>2301</w:t>
      </w:r>
    </w:p>
    <w:p w14:paraId="6C915033">
      <w:pPr>
        <w:pStyle w:val="21"/>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sz w:val="32"/>
          <w:szCs w:val="32"/>
        </w:rPr>
        <w:t>致曲靖市</w:t>
      </w:r>
      <w:r>
        <w:rPr>
          <w:rFonts w:hint="eastAsia"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14:paraId="685AA4C9">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在审阅了贵方竞争性文件,并同时在有关网站查阅相关补遗公告，我方下述签字人将按照《竞争性文件》的规定，参加。</w:t>
      </w:r>
    </w:p>
    <w:p w14:paraId="7053AA86">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现提交下述资料：</w:t>
      </w:r>
    </w:p>
    <w:p w14:paraId="13541DA0">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1、保证书；</w:t>
      </w:r>
    </w:p>
    <w:p w14:paraId="208D915B">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2、报价表；</w:t>
      </w:r>
    </w:p>
    <w:p w14:paraId="4C63C08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、项目实施方案；</w:t>
      </w:r>
    </w:p>
    <w:p w14:paraId="334D241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4、中小企业声明函</w:t>
      </w:r>
    </w:p>
    <w:p w14:paraId="5E38AA56">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、供应商资格和资信证明文件；</w:t>
      </w:r>
    </w:p>
    <w:p w14:paraId="518E6B4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、项目售后服务承诺</w:t>
      </w:r>
      <w:r>
        <w:rPr>
          <w:rFonts w:hint="default" w:ascii="Times New Roman" w:hAnsi="Times New Roman" w:eastAsia="方正仿宋_GBK" w:cs="Times New Roman"/>
          <w:sz w:val="32"/>
          <w:szCs w:val="32"/>
          <w:lang w:eastAsia="zh-CN"/>
        </w:rPr>
        <w:t>；</w:t>
      </w:r>
    </w:p>
    <w:p w14:paraId="10A29CA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7、供应商资质和资信证明文件；</w:t>
      </w:r>
    </w:p>
    <w:p w14:paraId="6FBC833F">
      <w:pPr>
        <w:pStyle w:val="16"/>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jc w:val="both"/>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仿宋_GBK" w:cs="Times New Roman"/>
          <w:kern w:val="2"/>
          <w:sz w:val="32"/>
          <w:szCs w:val="32"/>
          <w:lang w:val="en-US" w:eastAsia="zh-CN" w:bidi="ar-SA"/>
        </w:rPr>
        <w:t>8、其他资料。</w:t>
      </w:r>
    </w:p>
    <w:p w14:paraId="62E2A5AE">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我方同意以下事项：</w:t>
      </w:r>
    </w:p>
    <w:p w14:paraId="39FA5580">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1、遵守文件的各项条款及一切有关规定；</w:t>
      </w:r>
    </w:p>
    <w:p w14:paraId="7D44C4A2">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2、如果我方成交，则至合同履行完为止，本响应说明保持有效。</w:t>
      </w:r>
    </w:p>
    <w:p w14:paraId="1E24E7A7">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公司全称：</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 xml:space="preserve">             </w:t>
      </w:r>
    </w:p>
    <w:p w14:paraId="4F28A6D3">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    详细地址：</w:t>
      </w:r>
      <w:r>
        <w:rPr>
          <w:rFonts w:hint="default" w:ascii="Times New Roman" w:hAnsi="Times New Roman" w:eastAsia="方正仿宋_GBK" w:cs="Times New Roman"/>
          <w:sz w:val="32"/>
          <w:szCs w:val="32"/>
          <w:u w:val="single"/>
        </w:rPr>
        <w:t xml:space="preserve">                                                                </w:t>
      </w:r>
    </w:p>
    <w:p w14:paraId="2F713F69">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    传    真：</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邮编：</w:t>
      </w:r>
      <w:r>
        <w:rPr>
          <w:rFonts w:hint="default" w:ascii="Times New Roman" w:hAnsi="Times New Roman" w:eastAsia="方正仿宋_GBK" w:cs="Times New Roman"/>
          <w:sz w:val="32"/>
          <w:szCs w:val="32"/>
          <w:u w:val="single"/>
        </w:rPr>
        <w:t xml:space="preserve">            </w:t>
      </w:r>
    </w:p>
    <w:p w14:paraId="424FDC8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p>
    <w:p w14:paraId="43394A69">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法定代表人签名（签字/</w:t>
      </w:r>
      <w:r>
        <w:rPr>
          <w:rFonts w:hint="eastAsia" w:ascii="Times New Roman" w:hAnsi="Times New Roman" w:eastAsia="方正仿宋_GBK" w:cs="Times New Roman"/>
          <w:sz w:val="32"/>
          <w:szCs w:val="32"/>
          <w:lang w:val="en-US" w:eastAsia="zh-CN"/>
        </w:rPr>
        <w:t>盖章</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 xml:space="preserve">法定代表人电话：          </w:t>
      </w:r>
    </w:p>
    <w:p w14:paraId="2A01CF54">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52C62C6C">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p>
    <w:p w14:paraId="240BF828">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委托代理人签名（签字/</w:t>
      </w:r>
      <w:r>
        <w:rPr>
          <w:rFonts w:hint="eastAsia" w:ascii="Times New Roman" w:hAnsi="Times New Roman" w:eastAsia="方正仿宋_GBK" w:cs="Times New Roman"/>
          <w:sz w:val="32"/>
          <w:szCs w:val="32"/>
          <w:lang w:val="en-US" w:eastAsia="zh-CN"/>
        </w:rPr>
        <w:t>盖章</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委托代理人电话：</w:t>
      </w:r>
    </w:p>
    <w:p w14:paraId="2936C307">
      <w:pPr>
        <w:pStyle w:val="21"/>
        <w:keepNext w:val="0"/>
        <w:keepLines w:val="0"/>
        <w:pageBreakBefore w:val="0"/>
        <w:widowControl w:val="0"/>
        <w:tabs>
          <w:tab w:val="left" w:pos="2139"/>
        </w:tabs>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b/>
      </w:r>
    </w:p>
    <w:p w14:paraId="32BB740A">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投标人(公章)：</w:t>
      </w:r>
    </w:p>
    <w:p w14:paraId="75389195">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04B7453B">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sz w:val="32"/>
          <w:szCs w:val="32"/>
          <w:lang w:eastAsia="zh-CN"/>
        </w:rPr>
        <w:sectPr>
          <w:pgSz w:w="11907" w:h="16840"/>
          <w:pgMar w:top="720" w:right="720" w:bottom="720" w:left="720" w:header="1021" w:footer="567" w:gutter="0"/>
          <w:cols w:space="720" w:num="1"/>
          <w:titlePg/>
          <w:docGrid w:type="linesAndChars" w:linePitch="318" w:charSpace="0"/>
        </w:sectPr>
      </w:pPr>
      <w:r>
        <w:rPr>
          <w:rFonts w:hint="default" w:ascii="Times New Roman" w:hAnsi="Times New Roman" w:eastAsia="方正仿宋_GBK" w:cs="Times New Roman"/>
          <w:sz w:val="32"/>
          <w:szCs w:val="32"/>
        </w:rPr>
        <w:t xml:space="preserve">年      月     </w:t>
      </w:r>
      <w:r>
        <w:rPr>
          <w:rFonts w:hint="default" w:ascii="Times New Roman" w:hAnsi="Times New Roman" w:eastAsia="方正仿宋_GBK" w:cs="Times New Roman"/>
          <w:sz w:val="32"/>
          <w:szCs w:val="32"/>
          <w:lang w:eastAsia="zh-CN"/>
        </w:rPr>
        <w:t>日</w:t>
      </w:r>
    </w:p>
    <w:p w14:paraId="309FB992">
      <w:pPr>
        <w:pStyle w:val="21"/>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b w:val="0"/>
          <w:bCs/>
          <w:lang w:val="en-US" w:eastAsia="zh-CN"/>
        </w:rPr>
      </w:pPr>
      <w:r>
        <w:rPr>
          <w:rFonts w:hint="eastAsia" w:ascii="方正黑体_GBK" w:hAnsi="方正黑体_GBK" w:eastAsia="方正黑体_GBK" w:cs="方正黑体_GBK"/>
          <w:b w:val="0"/>
          <w:bCs/>
          <w:kern w:val="0"/>
          <w:sz w:val="32"/>
          <w:szCs w:val="32"/>
          <w:lang w:val="en-US" w:eastAsia="zh-CN"/>
        </w:rPr>
        <w:t>二、报价表</w:t>
      </w:r>
    </w:p>
    <w:p w14:paraId="7FC08D4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项目名称：</w:t>
      </w:r>
    </w:p>
    <w:p w14:paraId="540F2CED">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项目编号：</w:t>
      </w:r>
    </w:p>
    <w:tbl>
      <w:tblPr>
        <w:tblStyle w:val="38"/>
        <w:tblW w:w="8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9"/>
        <w:gridCol w:w="6545"/>
      </w:tblGrid>
      <w:tr w14:paraId="1471A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039" w:type="dxa"/>
            <w:vAlign w:val="center"/>
          </w:tcPr>
          <w:p w14:paraId="5D8BB5D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投标人名称</w:t>
            </w:r>
          </w:p>
        </w:tc>
        <w:tc>
          <w:tcPr>
            <w:tcW w:w="6545" w:type="dxa"/>
            <w:vAlign w:val="center"/>
          </w:tcPr>
          <w:p w14:paraId="1351529B">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p>
        </w:tc>
      </w:tr>
      <w:tr w14:paraId="79B0D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2039" w:type="dxa"/>
            <w:vAlign w:val="center"/>
          </w:tcPr>
          <w:p w14:paraId="6700FDD9">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报价合计（元）</w:t>
            </w:r>
          </w:p>
        </w:tc>
        <w:tc>
          <w:tcPr>
            <w:tcW w:w="6545" w:type="dxa"/>
            <w:vAlign w:val="center"/>
          </w:tcPr>
          <w:p w14:paraId="7530DC5B">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小写：</w:t>
            </w:r>
          </w:p>
          <w:p w14:paraId="59688B97">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大写：</w:t>
            </w:r>
          </w:p>
        </w:tc>
      </w:tr>
      <w:tr w14:paraId="42EE7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2039" w:type="dxa"/>
            <w:vAlign w:val="center"/>
          </w:tcPr>
          <w:p w14:paraId="06F6ECF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合同履行期限</w:t>
            </w:r>
          </w:p>
        </w:tc>
        <w:tc>
          <w:tcPr>
            <w:tcW w:w="6545" w:type="dxa"/>
            <w:vAlign w:val="center"/>
          </w:tcPr>
          <w:p w14:paraId="4DA0EE5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p>
        </w:tc>
      </w:tr>
      <w:tr w14:paraId="2AA1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039" w:type="dxa"/>
            <w:vAlign w:val="center"/>
          </w:tcPr>
          <w:p w14:paraId="42C75A9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项目实施地点</w:t>
            </w:r>
          </w:p>
        </w:tc>
        <w:tc>
          <w:tcPr>
            <w:tcW w:w="6545" w:type="dxa"/>
            <w:vAlign w:val="center"/>
          </w:tcPr>
          <w:p w14:paraId="2CC4CC7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p>
        </w:tc>
      </w:tr>
      <w:tr w14:paraId="077D8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8584" w:type="dxa"/>
            <w:gridSpan w:val="2"/>
            <w:vAlign w:val="center"/>
          </w:tcPr>
          <w:p w14:paraId="011CB6C5">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28"/>
                <w:szCs w:val="28"/>
                <w:vertAlign w:val="baseline"/>
                <w:lang w:val="en-US" w:eastAsia="zh-CN"/>
              </w:rPr>
            </w:pPr>
            <w:r>
              <w:rPr>
                <w:rFonts w:hint="eastAsia" w:asciiTheme="minorEastAsia" w:hAnsiTheme="minorEastAsia" w:cstheme="minorEastAsia"/>
                <w:sz w:val="28"/>
                <w:szCs w:val="28"/>
                <w:vertAlign w:val="baseline"/>
                <w:lang w:val="en-US" w:eastAsia="zh-CN"/>
              </w:rPr>
              <w:t>备注</w:t>
            </w:r>
          </w:p>
        </w:tc>
      </w:tr>
    </w:tbl>
    <w:p w14:paraId="32D477F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投标人（加盖投标人公章）：</w:t>
      </w:r>
    </w:p>
    <w:p w14:paraId="18C50A8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p>
    <w:p w14:paraId="78E6154A">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Theme="minorEastAsia" w:hAnsiTheme="minorEastAsia" w:cstheme="minorEastAsia"/>
          <w:sz w:val="30"/>
          <w:szCs w:val="30"/>
          <w:lang w:val="en-US" w:eastAsia="zh-CN"/>
        </w:rPr>
      </w:pPr>
      <w:r>
        <w:rPr>
          <w:rFonts w:hint="eastAsia" w:asciiTheme="minorEastAsia" w:hAnsiTheme="minorEastAsia" w:cstheme="minorEastAsia"/>
          <w:sz w:val="30"/>
          <w:szCs w:val="30"/>
          <w:lang w:val="en-US" w:eastAsia="zh-CN"/>
        </w:rPr>
        <w:t>法定代表人或者委托代理人（签字或盖章）：</w:t>
      </w:r>
    </w:p>
    <w:p w14:paraId="1B50C70C">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cstheme="minorEastAsia"/>
          <w:sz w:val="30"/>
          <w:szCs w:val="30"/>
          <w:lang w:val="en-US" w:eastAsia="zh-CN"/>
        </w:rPr>
      </w:pPr>
    </w:p>
    <w:p w14:paraId="5E4C14F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sz w:val="32"/>
          <w:szCs w:val="32"/>
          <w:lang w:val="en-US" w:eastAsia="zh-CN"/>
        </w:rPr>
      </w:pPr>
      <w:r>
        <w:rPr>
          <w:rFonts w:hint="eastAsia" w:asciiTheme="minorEastAsia" w:hAnsiTheme="minorEastAsia" w:cstheme="minorEastAsia"/>
          <w:sz w:val="30"/>
          <w:szCs w:val="30"/>
          <w:lang w:val="en-US" w:eastAsia="zh-CN"/>
        </w:rPr>
        <w:t>日期：   年  月  日</w:t>
      </w:r>
    </w:p>
    <w:p w14:paraId="5023DB71">
      <w:pPr>
        <w:keepNext w:val="0"/>
        <w:keepLines w:val="0"/>
        <w:pageBreakBefore w:val="0"/>
        <w:widowControl w:val="0"/>
        <w:kinsoku/>
        <w:wordWrap/>
        <w:overflowPunct/>
        <w:topLinePunct w:val="0"/>
        <w:autoSpaceDE/>
        <w:autoSpaceDN/>
        <w:bidi w:val="0"/>
        <w:adjustRightInd/>
        <w:snapToGrid/>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注：1、首年免运维费；</w:t>
      </w:r>
    </w:p>
    <w:p w14:paraId="74BDF6D6">
      <w:pPr>
        <w:keepNext w:val="0"/>
        <w:keepLines w:val="0"/>
        <w:pageBreakBefore w:val="0"/>
        <w:widowControl w:val="0"/>
        <w:numPr>
          <w:ilvl w:val="0"/>
          <w:numId w:val="8"/>
        </w:numPr>
        <w:kinsoku/>
        <w:wordWrap/>
        <w:overflowPunct/>
        <w:topLinePunct w:val="0"/>
        <w:autoSpaceDE/>
        <w:autoSpaceDN/>
        <w:bidi w:val="0"/>
        <w:adjustRightInd/>
        <w:snapToGrid/>
        <w:ind w:left="-10" w:leftChars="0" w:firstLine="640" w:firstLineChars="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第二、第三年的运维费填写在备注栏中，且运维费不得高于项目建设费，否则，报价无效。</w:t>
      </w:r>
    </w:p>
    <w:p w14:paraId="2DE7558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黑体" w:eastAsia="黑体" w:cs="黑体"/>
          <w:sz w:val="32"/>
          <w:szCs w:val="32"/>
          <w:lang w:val="en-US" w:eastAsia="zh-CN"/>
        </w:rPr>
      </w:pPr>
    </w:p>
    <w:p w14:paraId="41C40076">
      <w:pPr>
        <w:pStyle w:val="2"/>
        <w:rPr>
          <w:rFonts w:hint="eastAsia"/>
          <w:lang w:val="en-US" w:eastAsia="zh-CN"/>
        </w:rPr>
      </w:pPr>
    </w:p>
    <w:p w14:paraId="1AED0277">
      <w:pPr>
        <w:pStyle w:val="2"/>
        <w:rPr>
          <w:rFonts w:hint="eastAsia"/>
          <w:lang w:val="en-US" w:eastAsia="zh-CN"/>
        </w:rPr>
      </w:pPr>
    </w:p>
    <w:p w14:paraId="795F95D3">
      <w:pPr>
        <w:pStyle w:val="2"/>
        <w:rPr>
          <w:rFonts w:hint="eastAsia"/>
          <w:lang w:val="en-US" w:eastAsia="zh-CN"/>
        </w:rPr>
      </w:pPr>
    </w:p>
    <w:p w14:paraId="3A686234">
      <w:pPr>
        <w:pStyle w:val="2"/>
        <w:rPr>
          <w:rFonts w:hint="eastAsia"/>
          <w:lang w:val="en-US" w:eastAsia="zh-CN"/>
        </w:rPr>
      </w:pPr>
    </w:p>
    <w:p w14:paraId="7D87306B">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outlineLvl w:val="1"/>
        <w:rPr>
          <w:rFonts w:hint="eastAsia" w:ascii="方正黑体_GBK" w:hAnsi="方正黑体_GBK" w:eastAsia="方正黑体_GBK" w:cs="方正黑体_GBK"/>
          <w:b w:val="0"/>
          <w:bCs/>
          <w:sz w:val="32"/>
          <w:szCs w:val="32"/>
        </w:rPr>
      </w:pPr>
      <w:bookmarkStart w:id="63" w:name="_Toc26863"/>
      <w:r>
        <w:rPr>
          <w:rFonts w:hint="eastAsia" w:ascii="方正黑体_GBK" w:hAnsi="方正黑体_GBK" w:eastAsia="方正黑体_GBK" w:cs="方正黑体_GBK"/>
          <w:b w:val="0"/>
          <w:bCs/>
          <w:kern w:val="0"/>
          <w:sz w:val="32"/>
          <w:szCs w:val="32"/>
          <w:lang w:eastAsia="zh-CN"/>
        </w:rPr>
        <w:t>三、</w:t>
      </w:r>
      <w:r>
        <w:rPr>
          <w:rFonts w:hint="eastAsia" w:ascii="方正黑体_GBK" w:hAnsi="方正黑体_GBK" w:eastAsia="方正黑体_GBK" w:cs="方正黑体_GBK"/>
          <w:b w:val="0"/>
          <w:bCs/>
          <w:kern w:val="0"/>
          <w:sz w:val="32"/>
          <w:szCs w:val="32"/>
        </w:rPr>
        <w:t>项目实施方案</w:t>
      </w:r>
      <w:bookmarkEnd w:id="63"/>
    </w:p>
    <w:p w14:paraId="01AA4FD5">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eastAsia" w:ascii="方正黑体_GBK" w:hAnsi="方正黑体_GBK" w:eastAsia="方正黑体_GBK" w:cs="方正黑体_GBK"/>
          <w:b w:val="0"/>
          <w:bCs/>
          <w:kern w:val="0"/>
          <w:sz w:val="32"/>
          <w:szCs w:val="32"/>
        </w:rPr>
      </w:pPr>
      <w:bookmarkStart w:id="64" w:name="_Toc26698"/>
      <w:bookmarkStart w:id="65" w:name="_Toc29742"/>
      <w:r>
        <w:rPr>
          <w:rFonts w:hint="eastAsia" w:ascii="方正黑体_GBK" w:hAnsi="方正黑体_GBK" w:eastAsia="方正黑体_GBK" w:cs="方正黑体_GBK"/>
          <w:b w:val="0"/>
          <w:bCs/>
          <w:kern w:val="0"/>
          <w:sz w:val="32"/>
          <w:szCs w:val="32"/>
          <w:lang w:val="en-US" w:eastAsia="zh-CN"/>
        </w:rPr>
        <w:t>四、中小</w:t>
      </w:r>
      <w:r>
        <w:rPr>
          <w:rFonts w:hint="eastAsia" w:ascii="方正黑体_GBK" w:hAnsi="方正黑体_GBK" w:eastAsia="方正黑体_GBK" w:cs="方正黑体_GBK"/>
          <w:b w:val="0"/>
          <w:bCs/>
          <w:kern w:val="0"/>
          <w:sz w:val="32"/>
          <w:szCs w:val="32"/>
        </w:rPr>
        <w:t>企业声明函</w:t>
      </w:r>
      <w:bookmarkEnd w:id="64"/>
      <w:bookmarkEnd w:id="65"/>
    </w:p>
    <w:p w14:paraId="7CDC5D12">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eastAsia" w:ascii="宋体" w:hAnsi="宋体" w:cs="宋体"/>
          <w:sz w:val="24"/>
          <w:szCs w:val="24"/>
          <w:lang w:val="en-US" w:eastAsia="zh-CN"/>
        </w:rPr>
      </w:pPr>
      <w:bookmarkStart w:id="66" w:name="_Toc23182"/>
      <w:bookmarkStart w:id="67" w:name="_Toc6155"/>
      <w:r>
        <w:rPr>
          <w:rFonts w:hint="eastAsia" w:ascii="方正黑体_GBK" w:hAnsi="方正黑体_GBK" w:eastAsia="方正黑体_GBK" w:cs="方正黑体_GBK"/>
          <w:b w:val="0"/>
          <w:bCs/>
          <w:kern w:val="0"/>
          <w:sz w:val="32"/>
          <w:szCs w:val="32"/>
          <w:lang w:val="en-US" w:eastAsia="zh-CN"/>
        </w:rPr>
        <w:t>五</w:t>
      </w:r>
      <w:r>
        <w:rPr>
          <w:rFonts w:hint="eastAsia" w:ascii="方正黑体_GBK" w:hAnsi="方正黑体_GBK" w:eastAsia="方正黑体_GBK" w:cs="方正黑体_GBK"/>
          <w:b w:val="0"/>
          <w:bCs/>
          <w:kern w:val="0"/>
          <w:sz w:val="32"/>
          <w:szCs w:val="32"/>
        </w:rPr>
        <w:t>、</w:t>
      </w:r>
      <w:r>
        <w:rPr>
          <w:rFonts w:hint="eastAsia" w:ascii="方正黑体_GBK" w:hAnsi="方正黑体_GBK" w:eastAsia="方正黑体_GBK" w:cs="方正黑体_GBK"/>
          <w:b w:val="0"/>
          <w:bCs/>
          <w:sz w:val="32"/>
          <w:szCs w:val="32"/>
        </w:rPr>
        <w:t>证明服务的合格性和符合文件规定的文件</w:t>
      </w:r>
      <w:bookmarkEnd w:id="66"/>
      <w:bookmarkEnd w:id="67"/>
    </w:p>
    <w:p w14:paraId="3988282B">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eastAsia" w:ascii="方正黑体_GBK" w:hAnsi="方正黑体_GBK" w:eastAsia="方正黑体_GBK" w:cs="方正黑体_GBK"/>
          <w:b w:val="0"/>
          <w:bCs/>
          <w:kern w:val="0"/>
          <w:sz w:val="32"/>
          <w:szCs w:val="32"/>
        </w:rPr>
      </w:pPr>
      <w:bookmarkStart w:id="68" w:name="_Toc19928"/>
      <w:bookmarkStart w:id="69" w:name="_Toc15318"/>
      <w:r>
        <w:rPr>
          <w:rFonts w:hint="eastAsia" w:ascii="方正黑体_GBK" w:hAnsi="方正黑体_GBK" w:eastAsia="方正黑体_GBK" w:cs="方正黑体_GBK"/>
          <w:b w:val="0"/>
          <w:bCs/>
          <w:kern w:val="0"/>
          <w:sz w:val="32"/>
          <w:szCs w:val="32"/>
          <w:lang w:val="en-US" w:eastAsia="zh-CN"/>
        </w:rPr>
        <w:t>六</w:t>
      </w:r>
      <w:r>
        <w:rPr>
          <w:rFonts w:hint="eastAsia" w:ascii="方正黑体_GBK" w:hAnsi="方正黑体_GBK" w:eastAsia="方正黑体_GBK" w:cs="方正黑体_GBK"/>
          <w:b w:val="0"/>
          <w:bCs/>
          <w:kern w:val="0"/>
          <w:sz w:val="32"/>
          <w:szCs w:val="32"/>
        </w:rPr>
        <w:t>、项目售后服务承诺</w:t>
      </w:r>
      <w:bookmarkEnd w:id="68"/>
      <w:bookmarkEnd w:id="69"/>
    </w:p>
    <w:p w14:paraId="6274EF9B">
      <w:pPr>
        <w:pStyle w:val="21"/>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1"/>
        <w:rPr>
          <w:rFonts w:hint="eastAsia" w:ascii="方正黑体_GBK" w:hAnsi="方正黑体_GBK" w:eastAsia="方正黑体_GBK" w:cs="方正黑体_GBK"/>
          <w:b w:val="0"/>
          <w:bCs/>
          <w:sz w:val="32"/>
          <w:szCs w:val="32"/>
        </w:rPr>
      </w:pPr>
      <w:bookmarkStart w:id="70" w:name="_Toc16834"/>
      <w:bookmarkStart w:id="71" w:name="_Toc7394"/>
      <w:r>
        <w:rPr>
          <w:rFonts w:hint="eastAsia" w:ascii="方正黑体_GBK" w:hAnsi="方正黑体_GBK" w:eastAsia="方正黑体_GBK" w:cs="方正黑体_GBK"/>
          <w:b w:val="0"/>
          <w:bCs/>
          <w:sz w:val="32"/>
          <w:szCs w:val="32"/>
          <w:lang w:val="en-US" w:eastAsia="zh-CN"/>
        </w:rPr>
        <w:t>七、</w:t>
      </w:r>
      <w:r>
        <w:rPr>
          <w:rFonts w:hint="eastAsia" w:ascii="方正黑体_GBK" w:hAnsi="方正黑体_GBK" w:eastAsia="方正黑体_GBK" w:cs="方正黑体_GBK"/>
          <w:b w:val="0"/>
          <w:bCs/>
          <w:sz w:val="32"/>
          <w:szCs w:val="32"/>
        </w:rPr>
        <w:t>供应商资质和资信证明文件</w:t>
      </w:r>
      <w:bookmarkEnd w:id="70"/>
      <w:bookmarkEnd w:id="71"/>
    </w:p>
    <w:p w14:paraId="5AC80F26">
      <w:pPr>
        <w:pStyle w:val="21"/>
        <w:keepNext w:val="0"/>
        <w:keepLines w:val="0"/>
        <w:pageBreakBefore w:val="0"/>
        <w:widowControl w:val="0"/>
        <w:kinsoku/>
        <w:wordWrap/>
        <w:overflowPunct/>
        <w:topLinePunct w:val="0"/>
        <w:autoSpaceDE/>
        <w:autoSpaceDN/>
        <w:bidi w:val="0"/>
        <w:adjustRightInd/>
        <w:snapToGrid/>
        <w:spacing w:line="600" w:lineRule="exact"/>
        <w:textAlignment w:val="auto"/>
        <w:outlineLvl w:val="1"/>
        <w:rPr>
          <w:rFonts w:hint="eastAsia" w:ascii="方正黑体_GBK" w:hAnsi="方正黑体_GBK" w:eastAsia="方正黑体_GBK" w:cs="方正黑体_GBK"/>
          <w:b w:val="0"/>
          <w:bCs/>
          <w:sz w:val="32"/>
          <w:szCs w:val="32"/>
        </w:rPr>
      </w:pPr>
      <w:bookmarkStart w:id="72" w:name="_Toc24445"/>
      <w:bookmarkStart w:id="73" w:name="_Toc15815"/>
      <w:r>
        <w:rPr>
          <w:rFonts w:hint="eastAsia" w:ascii="方正黑体_GBK" w:hAnsi="方正黑体_GBK" w:eastAsia="方正黑体_GBK" w:cs="方正黑体_GBK"/>
          <w:b w:val="0"/>
          <w:bCs/>
          <w:sz w:val="32"/>
          <w:szCs w:val="32"/>
          <w:lang w:val="en-US" w:eastAsia="zh-CN"/>
        </w:rPr>
        <w:t>八</w:t>
      </w:r>
      <w:r>
        <w:rPr>
          <w:rFonts w:hint="eastAsia" w:ascii="方正黑体_GBK" w:hAnsi="方正黑体_GBK" w:eastAsia="方正黑体_GBK" w:cs="方正黑体_GBK"/>
          <w:b w:val="0"/>
          <w:bCs/>
          <w:sz w:val="32"/>
          <w:szCs w:val="32"/>
        </w:rPr>
        <w:t>、其他资料</w:t>
      </w:r>
      <w:bookmarkEnd w:id="72"/>
      <w:bookmarkEnd w:id="73"/>
    </w:p>
    <w:p w14:paraId="3DC2A535">
      <w:pPr>
        <w:pStyle w:val="21"/>
        <w:outlineLvl w:val="1"/>
        <w:rPr>
          <w:rFonts w:ascii="仿宋_GB2312" w:eastAsia="仿宋_GB2312"/>
          <w:b/>
          <w:sz w:val="24"/>
          <w:szCs w:val="24"/>
        </w:rPr>
      </w:pPr>
    </w:p>
    <w:p w14:paraId="2F79E000">
      <w:pPr>
        <w:pStyle w:val="21"/>
        <w:jc w:val="center"/>
        <w:rPr>
          <w:rFonts w:ascii="仿宋_GB2312" w:eastAsia="仿宋_GB2312"/>
          <w:b/>
          <w:bCs/>
          <w:sz w:val="32"/>
          <w:szCs w:val="32"/>
        </w:rPr>
      </w:pPr>
    </w:p>
    <w:p w14:paraId="035247C5">
      <w:pPr>
        <w:pStyle w:val="21"/>
        <w:jc w:val="center"/>
        <w:rPr>
          <w:rFonts w:ascii="仿宋_GB2312" w:eastAsia="仿宋_GB2312"/>
          <w:b/>
          <w:bCs/>
          <w:sz w:val="32"/>
          <w:szCs w:val="32"/>
        </w:rPr>
      </w:pPr>
    </w:p>
    <w:p w14:paraId="43ECF3E8">
      <w:pPr>
        <w:pStyle w:val="21"/>
        <w:jc w:val="center"/>
        <w:rPr>
          <w:rFonts w:ascii="仿宋_GB2312" w:eastAsia="仿宋_GB2312"/>
          <w:b/>
          <w:bCs/>
          <w:sz w:val="32"/>
          <w:szCs w:val="32"/>
        </w:rPr>
      </w:pPr>
    </w:p>
    <w:p w14:paraId="3E105618">
      <w:pPr>
        <w:pStyle w:val="21"/>
        <w:jc w:val="center"/>
        <w:rPr>
          <w:rFonts w:ascii="仿宋_GB2312" w:eastAsia="仿宋_GB2312"/>
          <w:b/>
          <w:bCs/>
          <w:sz w:val="32"/>
          <w:szCs w:val="32"/>
        </w:rPr>
      </w:pPr>
    </w:p>
    <w:p w14:paraId="4C6D8851">
      <w:pPr>
        <w:pStyle w:val="21"/>
        <w:jc w:val="center"/>
        <w:rPr>
          <w:rFonts w:ascii="仿宋_GB2312" w:eastAsia="仿宋_GB2312"/>
          <w:b/>
          <w:bCs/>
          <w:sz w:val="32"/>
          <w:szCs w:val="32"/>
        </w:rPr>
      </w:pPr>
    </w:p>
    <w:p w14:paraId="57497401">
      <w:pPr>
        <w:pStyle w:val="21"/>
        <w:jc w:val="center"/>
        <w:rPr>
          <w:rFonts w:ascii="仿宋_GB2312" w:eastAsia="仿宋_GB2312"/>
          <w:b/>
          <w:bCs/>
          <w:sz w:val="32"/>
          <w:szCs w:val="32"/>
        </w:rPr>
      </w:pPr>
    </w:p>
    <w:p w14:paraId="4BDCE470">
      <w:pPr>
        <w:pStyle w:val="21"/>
        <w:jc w:val="center"/>
        <w:rPr>
          <w:rFonts w:ascii="仿宋_GB2312" w:eastAsia="仿宋_GB2312"/>
          <w:b/>
          <w:bCs/>
          <w:sz w:val="32"/>
          <w:szCs w:val="32"/>
        </w:rPr>
      </w:pPr>
    </w:p>
    <w:p w14:paraId="43599487">
      <w:pPr>
        <w:pStyle w:val="21"/>
        <w:jc w:val="center"/>
        <w:rPr>
          <w:rFonts w:ascii="仿宋_GB2312" w:eastAsia="仿宋_GB2312"/>
          <w:b/>
          <w:bCs/>
          <w:sz w:val="32"/>
          <w:szCs w:val="32"/>
        </w:rPr>
      </w:pPr>
    </w:p>
    <w:p w14:paraId="7161B6C8">
      <w:pPr>
        <w:pStyle w:val="21"/>
        <w:jc w:val="center"/>
        <w:rPr>
          <w:rFonts w:ascii="仿宋_GB2312" w:eastAsia="仿宋_GB2312"/>
          <w:b/>
          <w:bCs/>
          <w:sz w:val="32"/>
          <w:szCs w:val="32"/>
        </w:rPr>
      </w:pPr>
    </w:p>
    <w:p w14:paraId="2692F887">
      <w:pPr>
        <w:pStyle w:val="21"/>
        <w:jc w:val="center"/>
        <w:rPr>
          <w:rFonts w:ascii="仿宋_GB2312" w:eastAsia="仿宋_GB2312"/>
          <w:b/>
          <w:bCs/>
          <w:sz w:val="32"/>
          <w:szCs w:val="32"/>
        </w:rPr>
      </w:pPr>
    </w:p>
    <w:p w14:paraId="443847E0">
      <w:pPr>
        <w:pStyle w:val="21"/>
        <w:jc w:val="center"/>
        <w:rPr>
          <w:rFonts w:ascii="仿宋_GB2312" w:eastAsia="仿宋_GB2312"/>
          <w:b/>
          <w:bCs/>
          <w:sz w:val="32"/>
          <w:szCs w:val="32"/>
        </w:rPr>
      </w:pPr>
    </w:p>
    <w:p w14:paraId="6BDBD7A7">
      <w:pPr>
        <w:pStyle w:val="21"/>
        <w:jc w:val="center"/>
        <w:rPr>
          <w:rFonts w:ascii="仿宋_GB2312" w:eastAsia="仿宋_GB2312"/>
          <w:b/>
          <w:bCs/>
          <w:sz w:val="32"/>
          <w:szCs w:val="32"/>
        </w:rPr>
      </w:pPr>
    </w:p>
    <w:p w14:paraId="377AA318">
      <w:pPr>
        <w:pStyle w:val="21"/>
        <w:jc w:val="center"/>
        <w:rPr>
          <w:rFonts w:ascii="仿宋_GB2312" w:eastAsia="仿宋_GB2312"/>
          <w:b/>
          <w:bCs/>
          <w:sz w:val="32"/>
          <w:szCs w:val="32"/>
        </w:rPr>
      </w:pPr>
    </w:p>
    <w:p w14:paraId="36D32477">
      <w:pPr>
        <w:pStyle w:val="21"/>
        <w:jc w:val="center"/>
        <w:rPr>
          <w:rFonts w:ascii="仿宋_GB2312" w:eastAsia="仿宋_GB2312"/>
          <w:b/>
          <w:bCs/>
          <w:sz w:val="32"/>
          <w:szCs w:val="32"/>
        </w:rPr>
      </w:pPr>
    </w:p>
    <w:p w14:paraId="276407A7">
      <w:pPr>
        <w:pStyle w:val="21"/>
        <w:jc w:val="center"/>
        <w:rPr>
          <w:rFonts w:ascii="仿宋_GB2312" w:eastAsia="仿宋_GB2312"/>
          <w:b/>
          <w:bCs/>
          <w:sz w:val="32"/>
          <w:szCs w:val="32"/>
        </w:rPr>
      </w:pPr>
    </w:p>
    <w:p w14:paraId="02F4080D">
      <w:pPr>
        <w:rPr>
          <w:rFonts w:ascii="仿宋_GB2312" w:eastAsia="仿宋_GB2312"/>
          <w:b/>
          <w:bCs/>
          <w:sz w:val="32"/>
          <w:szCs w:val="32"/>
        </w:rPr>
      </w:pPr>
      <w:r>
        <w:rPr>
          <w:rFonts w:ascii="仿宋_GB2312" w:eastAsia="仿宋_GB2312"/>
          <w:b/>
          <w:bCs/>
          <w:sz w:val="32"/>
          <w:szCs w:val="32"/>
        </w:rPr>
        <w:br w:type="page"/>
      </w:r>
    </w:p>
    <w:p w14:paraId="71C67EDC"/>
    <w:p w14:paraId="45BCB8F2">
      <w:pPr>
        <w:pStyle w:val="21"/>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1"/>
        <w:rPr>
          <w:rFonts w:hint="eastAsia" w:ascii="方正小标宋_GBK" w:hAnsi="方正小标宋_GBK" w:eastAsia="方正小标宋_GBK" w:cs="方正小标宋_GBK"/>
          <w:b w:val="0"/>
          <w:bCs w:val="0"/>
          <w:sz w:val="44"/>
          <w:szCs w:val="44"/>
        </w:rPr>
      </w:pPr>
      <w:bookmarkStart w:id="74" w:name="_Toc18739"/>
      <w:bookmarkStart w:id="75" w:name="_Toc15180"/>
      <w:r>
        <w:rPr>
          <w:rFonts w:hint="eastAsia" w:ascii="方正小标宋_GBK" w:hAnsi="方正小标宋_GBK" w:eastAsia="方正小标宋_GBK" w:cs="方正小标宋_GBK"/>
          <w:b w:val="0"/>
          <w:bCs w:val="0"/>
          <w:sz w:val="44"/>
          <w:szCs w:val="44"/>
        </w:rPr>
        <w:t>法定代表人授权委托书（样式）</w:t>
      </w:r>
      <w:bookmarkEnd w:id="74"/>
      <w:bookmarkEnd w:id="75"/>
    </w:p>
    <w:p w14:paraId="67074B47">
      <w:pPr>
        <w:pStyle w:val="21"/>
        <w:rPr>
          <w:rFonts w:ascii="仿宋_GB2312" w:eastAsia="仿宋_GB2312"/>
          <w:sz w:val="24"/>
          <w:szCs w:val="24"/>
        </w:rPr>
      </w:pPr>
    </w:p>
    <w:p w14:paraId="4FFFADD6">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eastAsia"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（采购编号）的竞争性活动，代理人在响应文件开启、、合同中所签署的一切和处理与之有关的一切事务，我均予承认。代理人无权转委托权。特此委托。</w:t>
      </w:r>
    </w:p>
    <w:p w14:paraId="580CA9B1">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09DF60F8">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2EC92ACB">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14:paraId="0370A66D">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性别：</w:t>
      </w:r>
    </w:p>
    <w:p w14:paraId="6435B9D2">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14:paraId="348C18FD">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14:paraId="7AFE1E8E">
      <w:pPr>
        <w:rPr>
          <w:rFonts w:hint="default" w:ascii="Times New Roman" w:hAnsi="Times New Roman" w:eastAsia="方正仿宋_GBK" w:cs="Times New Roman"/>
          <w:sz w:val="32"/>
          <w:szCs w:val="32"/>
        </w:rPr>
      </w:pPr>
    </w:p>
    <w:p w14:paraId="23B24FDA">
      <w:pPr>
        <w:pStyle w:val="2"/>
        <w:rPr>
          <w:rFonts w:hint="default"/>
        </w:rPr>
      </w:pPr>
    </w:p>
    <w:p w14:paraId="6AE1DE74">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法定代表人（签字）：</w:t>
      </w:r>
      <w:r>
        <w:rPr>
          <w:rFonts w:hint="default" w:ascii="Times New Roman" w:hAnsi="Times New Roman" w:eastAsia="方正仿宋_GBK" w:cs="Times New Roman"/>
          <w:sz w:val="32"/>
          <w:szCs w:val="32"/>
          <w:u w:val="single"/>
        </w:rPr>
        <w:t xml:space="preserve">                         </w:t>
      </w:r>
    </w:p>
    <w:p w14:paraId="5582E984">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61E7C2C4">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供应商全称（公章）：</w:t>
      </w:r>
      <w:r>
        <w:rPr>
          <w:rFonts w:hint="default" w:ascii="Times New Roman" w:hAnsi="Times New Roman" w:eastAsia="方正仿宋_GBK" w:cs="Times New Roman"/>
          <w:sz w:val="32"/>
          <w:szCs w:val="32"/>
          <w:u w:val="single"/>
        </w:rPr>
        <w:t xml:space="preserve">　　　　　　　　　　　 </w:t>
      </w:r>
    </w:p>
    <w:p w14:paraId="2F0819E5">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u w:val="single"/>
        </w:rPr>
      </w:pPr>
    </w:p>
    <w:p w14:paraId="60C8507D">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14:paraId="768C1299">
      <w:pPr>
        <w:keepNext w:val="0"/>
        <w:keepLines w:val="0"/>
        <w:pageBreakBefore w:val="0"/>
        <w:widowControl w:val="0"/>
        <w:kinsoku/>
        <w:wordWrap w:val="0"/>
        <w:overflowPunct/>
        <w:topLinePunct w:val="0"/>
        <w:autoSpaceDE/>
        <w:autoSpaceDN/>
        <w:bidi w:val="0"/>
        <w:adjustRightInd/>
        <w:snapToGrid/>
        <w:spacing w:line="600" w:lineRule="exact"/>
        <w:ind w:right="0" w:firstLine="6400" w:firstLineChars="20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年  　月　  日</w:t>
      </w:r>
    </w:p>
    <w:p w14:paraId="59F3BB69">
      <w:pPr>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5AC0ADD2">
      <w:pPr>
        <w:pStyle w:val="21"/>
        <w:keepNext w:val="0"/>
        <w:keepLines w:val="0"/>
        <w:pageBreakBefore w:val="0"/>
        <w:widowControl w:val="0"/>
        <w:kinsoku/>
        <w:overflowPunct/>
        <w:topLinePunct w:val="0"/>
        <w:autoSpaceDE/>
        <w:autoSpaceDN/>
        <w:bidi w:val="0"/>
        <w:adjustRightInd/>
        <w:snapToGrid/>
        <w:spacing w:line="600" w:lineRule="exact"/>
        <w:ind w:right="0" w:firstLine="643" w:firstLineChars="200"/>
        <w:jc w:val="both"/>
        <w:textAlignment w:val="auto"/>
        <w:rPr>
          <w:rFonts w:hint="default" w:ascii="Times New Roman" w:hAnsi="Times New Roman" w:eastAsia="方正仿宋_GBK" w:cs="Times New Roman"/>
          <w:b/>
          <w:bCs/>
          <w:sz w:val="32"/>
          <w:szCs w:val="32"/>
        </w:rPr>
      </w:pPr>
    </w:p>
    <w:p w14:paraId="785AE942">
      <w:pPr>
        <w:rPr>
          <w:rFonts w:hint="default" w:ascii="Times New Roman" w:hAnsi="Times New Roman" w:eastAsia="方正仿宋_GBK" w:cs="Times New Roman"/>
          <w:b/>
          <w:bCs/>
          <w:sz w:val="32"/>
          <w:szCs w:val="32"/>
        </w:rPr>
      </w:pPr>
    </w:p>
    <w:p w14:paraId="46B0F994">
      <w:pPr>
        <w:pStyle w:val="98"/>
        <w:rPr>
          <w:rFonts w:hint="default"/>
        </w:rPr>
      </w:pPr>
    </w:p>
    <w:p w14:paraId="5C7F4BB8">
      <w:pPr>
        <w:pStyle w:val="21"/>
        <w:keepNext w:val="0"/>
        <w:keepLines w:val="0"/>
        <w:pageBreakBefore w:val="0"/>
        <w:widowControl w:val="0"/>
        <w:kinsoku/>
        <w:wordWrap/>
        <w:overflowPunct/>
        <w:topLinePunct w:val="0"/>
        <w:autoSpaceDE/>
        <w:autoSpaceDN/>
        <w:bidi w:val="0"/>
        <w:adjustRightInd/>
        <w:snapToGrid/>
        <w:spacing w:line="720" w:lineRule="exact"/>
        <w:ind w:right="0" w:firstLine="0" w:firstLineChars="0"/>
        <w:jc w:val="center"/>
        <w:textAlignment w:val="auto"/>
        <w:outlineLvl w:val="1"/>
        <w:rPr>
          <w:rFonts w:hint="eastAsia" w:ascii="方正小标宋_GBK" w:hAnsi="方正小标宋_GBK" w:eastAsia="方正小标宋_GBK" w:cs="方正小标宋_GBK"/>
          <w:b w:val="0"/>
          <w:bCs w:val="0"/>
          <w:sz w:val="44"/>
          <w:szCs w:val="44"/>
        </w:rPr>
      </w:pPr>
      <w:bookmarkStart w:id="76" w:name="_Toc30061"/>
      <w:bookmarkStart w:id="77" w:name="_Toc23862"/>
      <w:r>
        <w:rPr>
          <w:rFonts w:hint="eastAsia" w:ascii="方正小标宋_GBK" w:hAnsi="方正小标宋_GBK" w:eastAsia="方正小标宋_GBK" w:cs="方正小标宋_GBK"/>
          <w:b w:val="0"/>
          <w:bCs w:val="0"/>
          <w:sz w:val="44"/>
          <w:szCs w:val="44"/>
        </w:rPr>
        <w:t>法定代表人资格证明（样式）</w:t>
      </w:r>
      <w:bookmarkEnd w:id="76"/>
      <w:bookmarkEnd w:id="77"/>
    </w:p>
    <w:p w14:paraId="42CD69BB">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1CB19B55">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，性别：</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，为我公司法定代表人。</w:t>
      </w:r>
    </w:p>
    <w:p w14:paraId="5EDE637F">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特此证明。</w:t>
      </w:r>
    </w:p>
    <w:p w14:paraId="17574E63">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00DEE012">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14:paraId="41E58AB4">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p>
    <w:p w14:paraId="0E289804">
      <w:pPr>
        <w:pStyle w:val="21"/>
        <w:keepNext w:val="0"/>
        <w:keepLines w:val="0"/>
        <w:pageBreakBefore w:val="0"/>
        <w:widowControl w:val="0"/>
        <w:kinsoku/>
        <w:overflowPunct/>
        <w:topLinePunct w:val="0"/>
        <w:autoSpaceDE/>
        <w:autoSpaceDN/>
        <w:bidi w:val="0"/>
        <w:adjustRightInd/>
        <w:snapToGrid/>
        <w:spacing w:line="600" w:lineRule="exact"/>
        <w:ind w:right="0"/>
        <w:jc w:val="both"/>
        <w:textAlignment w:val="auto"/>
        <w:rPr>
          <w:rFonts w:hint="default" w:ascii="Times New Roman" w:hAnsi="Times New Roman" w:eastAsia="方正仿宋_GBK" w:cs="Times New Roman"/>
          <w:sz w:val="32"/>
          <w:szCs w:val="32"/>
        </w:rPr>
      </w:pPr>
    </w:p>
    <w:p w14:paraId="1CC36E01">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供应商全称（公章）：</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 xml:space="preserve"> </w:t>
      </w:r>
    </w:p>
    <w:p w14:paraId="01C396E0">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14:paraId="3D8770F6">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p>
    <w:p w14:paraId="223B220B">
      <w:pPr>
        <w:pStyle w:val="21"/>
        <w:keepNext w:val="0"/>
        <w:keepLines w:val="0"/>
        <w:pageBreakBefore w:val="0"/>
        <w:widowControl w:val="0"/>
        <w:kinsoku/>
        <w:overflowPunct/>
        <w:topLinePunct w:val="0"/>
        <w:autoSpaceDE/>
        <w:autoSpaceDN/>
        <w:bidi w:val="0"/>
        <w:adjustRightInd/>
        <w:snapToGrid/>
        <w:spacing w:line="60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14:paraId="7106C818">
      <w:pPr>
        <w:keepNext w:val="0"/>
        <w:keepLines w:val="0"/>
        <w:pageBreakBefore w:val="0"/>
        <w:widowControl w:val="0"/>
        <w:kinsoku/>
        <w:overflowPunct/>
        <w:topLinePunct w:val="0"/>
        <w:autoSpaceDE/>
        <w:autoSpaceDN/>
        <w:bidi w:val="0"/>
        <w:adjustRightInd/>
        <w:snapToGrid/>
        <w:spacing w:line="600" w:lineRule="exact"/>
        <w:ind w:right="0" w:firstLine="643" w:firstLineChars="200"/>
        <w:jc w:val="both"/>
        <w:textAlignment w:val="auto"/>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br w:type="page"/>
      </w:r>
    </w:p>
    <w:p w14:paraId="6228976C">
      <w:pPr>
        <w:pStyle w:val="21"/>
        <w:keepNext w:val="0"/>
        <w:keepLines w:val="0"/>
        <w:pageBreakBefore w:val="0"/>
        <w:widowControl w:val="0"/>
        <w:kinsoku/>
        <w:wordWrap/>
        <w:overflowPunct/>
        <w:topLinePunct w:val="0"/>
        <w:autoSpaceDE/>
        <w:autoSpaceDN/>
        <w:bidi w:val="0"/>
        <w:adjustRightInd/>
        <w:snapToGrid/>
        <w:spacing w:line="720" w:lineRule="exact"/>
        <w:jc w:val="center"/>
        <w:textAlignment w:val="auto"/>
        <w:outlineLvl w:val="1"/>
        <w:rPr>
          <w:rFonts w:hint="eastAsia" w:ascii="方正小标宋_GBK" w:hAnsi="方正小标宋_GBK" w:eastAsia="方正小标宋_GBK" w:cs="方正小标宋_GBK"/>
          <w:b w:val="0"/>
          <w:bCs w:val="0"/>
          <w:sz w:val="44"/>
          <w:szCs w:val="44"/>
        </w:rPr>
      </w:pPr>
      <w:bookmarkStart w:id="78" w:name="_Toc11949"/>
      <w:bookmarkStart w:id="79" w:name="_Toc6778"/>
      <w:r>
        <w:rPr>
          <w:rFonts w:hint="eastAsia" w:ascii="方正小标宋_GBK" w:hAnsi="方正小标宋_GBK" w:eastAsia="方正小标宋_GBK" w:cs="方正小标宋_GBK"/>
          <w:b w:val="0"/>
          <w:bCs w:val="0"/>
          <w:sz w:val="44"/>
          <w:szCs w:val="44"/>
        </w:rPr>
        <w:t>中小企业声明函（工程、服务）</w:t>
      </w:r>
      <w:bookmarkEnd w:id="78"/>
      <w:bookmarkEnd w:id="79"/>
    </w:p>
    <w:p w14:paraId="60565043"/>
    <w:p w14:paraId="116E4678">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 xml:space="preserve">公司郑重声明，根据《政府采购促进中小企业发展管理办法》（财库﹝2020﹞46 号）的规定，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公司参加</w:t>
      </w:r>
      <w:r>
        <w:rPr>
          <w:rFonts w:hint="default" w:ascii="Times New Roman" w:hAnsi="Times New Roman" w:eastAsia="方正仿宋_GBK" w:cs="Times New Roman"/>
          <w:sz w:val="32"/>
          <w:szCs w:val="32"/>
          <w:u w:val="single"/>
        </w:rPr>
        <w:t>（单位名称）</w:t>
      </w:r>
      <w:r>
        <w:rPr>
          <w:rFonts w:hint="default" w:ascii="Times New Roman" w:hAnsi="Times New Roman" w:eastAsia="方正仿宋_GBK" w:cs="Times New Roman"/>
          <w:sz w:val="32"/>
          <w:szCs w:val="32"/>
        </w:rPr>
        <w:t>的</w:t>
      </w:r>
      <w:r>
        <w:rPr>
          <w:rFonts w:hint="default" w:ascii="Times New Roman" w:hAnsi="Times New Roman" w:eastAsia="方正仿宋_GBK" w:cs="Times New Roman"/>
          <w:sz w:val="32"/>
          <w:szCs w:val="32"/>
          <w:u w:val="single"/>
        </w:rPr>
        <w:t>（项目名称）</w:t>
      </w:r>
      <w:r>
        <w:rPr>
          <w:rFonts w:hint="default" w:ascii="Times New Roman" w:hAnsi="Times New Roman" w:eastAsia="方正仿宋_GBK" w:cs="Times New Roman"/>
          <w:sz w:val="32"/>
          <w:szCs w:val="32"/>
        </w:rPr>
        <w:t>采购活动，工程的施工单位全部为符合政策要求的中小企业（或者：服务全部由符合政策要求的中小企业承接）。相关企业（含联合 体中的中小企业、签订分包意向协议的中小企业）的具体情况如下：</w:t>
      </w:r>
    </w:p>
    <w:p w14:paraId="2524638A">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u w:val="single"/>
        </w:rPr>
        <w:t>（标的名称）</w:t>
      </w:r>
      <w:r>
        <w:rPr>
          <w:rFonts w:hint="default" w:ascii="Times New Roman" w:hAnsi="Times New Roman" w:eastAsia="方正仿宋_GBK" w:cs="Times New Roman"/>
          <w:sz w:val="32"/>
          <w:szCs w:val="32"/>
        </w:rPr>
        <w:t>，属于</w:t>
      </w:r>
      <w:r>
        <w:rPr>
          <w:rFonts w:hint="default" w:ascii="Times New Roman" w:hAnsi="Times New Roman" w:eastAsia="方正仿宋_GBK" w:cs="Times New Roman"/>
          <w:sz w:val="32"/>
          <w:szCs w:val="32"/>
          <w:u w:val="single"/>
        </w:rPr>
        <w:t>（采购文件中明确的所属行业）</w:t>
      </w:r>
      <w:r>
        <w:rPr>
          <w:rFonts w:hint="default" w:ascii="Times New Roman" w:hAnsi="Times New Roman" w:eastAsia="方正仿宋_GBK" w:cs="Times New Roman"/>
          <w:sz w:val="32"/>
          <w:szCs w:val="32"/>
        </w:rPr>
        <w:t>；承建（承接）企业为</w:t>
      </w:r>
      <w:r>
        <w:rPr>
          <w:rFonts w:hint="default" w:ascii="Times New Roman" w:hAnsi="Times New Roman" w:eastAsia="方正仿宋_GBK" w:cs="Times New Roman"/>
          <w:sz w:val="32"/>
          <w:szCs w:val="32"/>
          <w:u w:val="single"/>
        </w:rPr>
        <w:t>（企业名称）</w:t>
      </w:r>
      <w:r>
        <w:rPr>
          <w:rFonts w:hint="default" w:ascii="Times New Roman" w:hAnsi="Times New Roman" w:eastAsia="方正仿宋_GBK" w:cs="Times New Roman"/>
          <w:sz w:val="32"/>
          <w:szCs w:val="32"/>
        </w:rPr>
        <w:t>，从业人员</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人，营业收入为</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万元，资产总额为</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万元</w:t>
      </w:r>
      <w:r>
        <w:rPr>
          <w:rStyle w:val="40"/>
          <w:rFonts w:hint="default" w:ascii="Times New Roman" w:hAnsi="Times New Roman" w:eastAsia="方正仿宋_GBK" w:cs="Times New Roman"/>
          <w:sz w:val="32"/>
          <w:szCs w:val="32"/>
        </w:rPr>
        <w:endnoteReference w:id="0"/>
      </w:r>
      <w:r>
        <w:rPr>
          <w:rFonts w:hint="default" w:ascii="Times New Roman" w:hAnsi="Times New Roman" w:eastAsia="方正仿宋_GBK" w:cs="Times New Roman"/>
          <w:sz w:val="32"/>
          <w:szCs w:val="32"/>
        </w:rPr>
        <w:t>，属于</w:t>
      </w:r>
      <w:r>
        <w:rPr>
          <w:rFonts w:hint="default" w:ascii="Times New Roman" w:hAnsi="Times New Roman" w:eastAsia="方正仿宋_GBK" w:cs="Times New Roman"/>
          <w:sz w:val="32"/>
          <w:szCs w:val="32"/>
          <w:u w:val="single"/>
        </w:rPr>
        <w:t>（中型企业、小型企业、微型企业）</w:t>
      </w:r>
      <w:r>
        <w:rPr>
          <w:rFonts w:hint="default" w:ascii="Times New Roman" w:hAnsi="Times New Roman" w:eastAsia="方正仿宋_GBK" w:cs="Times New Roman"/>
          <w:sz w:val="32"/>
          <w:szCs w:val="32"/>
        </w:rPr>
        <w:t>；</w:t>
      </w:r>
    </w:p>
    <w:p w14:paraId="082F9F7B">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u w:val="single"/>
        </w:rPr>
        <w:t>（标的名称）</w:t>
      </w:r>
      <w:r>
        <w:rPr>
          <w:rFonts w:hint="default" w:ascii="Times New Roman" w:hAnsi="Times New Roman" w:eastAsia="方正仿宋_GBK" w:cs="Times New Roman"/>
          <w:sz w:val="32"/>
          <w:szCs w:val="32"/>
        </w:rPr>
        <w:t>，属于</w:t>
      </w:r>
      <w:r>
        <w:rPr>
          <w:rFonts w:hint="default" w:ascii="Times New Roman" w:hAnsi="Times New Roman" w:eastAsia="方正仿宋_GBK" w:cs="Times New Roman"/>
          <w:sz w:val="32"/>
          <w:szCs w:val="32"/>
          <w:u w:val="single"/>
        </w:rPr>
        <w:t>（采购文件中明确的所属行业）</w:t>
      </w:r>
      <w:r>
        <w:rPr>
          <w:rFonts w:hint="default" w:ascii="Times New Roman" w:hAnsi="Times New Roman" w:eastAsia="方正仿宋_GBK" w:cs="Times New Roman"/>
          <w:sz w:val="32"/>
          <w:szCs w:val="32"/>
        </w:rPr>
        <w:t>；承建（承接）企业为</w:t>
      </w:r>
      <w:r>
        <w:rPr>
          <w:rFonts w:hint="default" w:ascii="Times New Roman" w:hAnsi="Times New Roman" w:eastAsia="方正仿宋_GBK" w:cs="Times New Roman"/>
          <w:sz w:val="32"/>
          <w:szCs w:val="32"/>
          <w:u w:val="single"/>
        </w:rPr>
        <w:t>（企业名称）</w:t>
      </w:r>
      <w:r>
        <w:rPr>
          <w:rFonts w:hint="default" w:ascii="Times New Roman" w:hAnsi="Times New Roman" w:eastAsia="方正仿宋_GBK" w:cs="Times New Roman"/>
          <w:sz w:val="32"/>
          <w:szCs w:val="32"/>
        </w:rPr>
        <w:t>，从业人员</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人，营业收入为</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rPr>
        <w:t>万元，资产总额为</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rPr>
        <w:tab/>
      </w:r>
      <w:r>
        <w:rPr>
          <w:rFonts w:hint="default" w:ascii="Times New Roman" w:hAnsi="Times New Roman" w:eastAsia="方正仿宋_GBK" w:cs="Times New Roman"/>
          <w:sz w:val="32"/>
          <w:szCs w:val="32"/>
          <w:u w:val="single"/>
        </w:rPr>
        <w:t>万</w:t>
      </w:r>
      <w:r>
        <w:rPr>
          <w:rFonts w:hint="default" w:ascii="Times New Roman" w:hAnsi="Times New Roman" w:eastAsia="方正仿宋_GBK" w:cs="Times New Roman"/>
          <w:sz w:val="32"/>
          <w:szCs w:val="32"/>
        </w:rPr>
        <w:t>元，属于</w:t>
      </w:r>
      <w:r>
        <w:rPr>
          <w:rFonts w:hint="default" w:ascii="Times New Roman" w:hAnsi="Times New Roman" w:eastAsia="方正仿宋_GBK" w:cs="Times New Roman"/>
          <w:sz w:val="32"/>
          <w:szCs w:val="32"/>
          <w:u w:val="single"/>
        </w:rPr>
        <w:t>（中型企业、小型企业、微型企业）</w:t>
      </w:r>
      <w:r>
        <w:rPr>
          <w:rFonts w:hint="default" w:ascii="Times New Roman" w:hAnsi="Times New Roman" w:eastAsia="方正仿宋_GBK" w:cs="Times New Roman"/>
          <w:sz w:val="32"/>
          <w:szCs w:val="32"/>
        </w:rPr>
        <w:t>；</w:t>
      </w:r>
    </w:p>
    <w:p w14:paraId="2147C32B">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p>
    <w:p w14:paraId="7C682B32">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以上企业，不属于大企业的分支机构，不存在控股股东为大企业的情形，也不存在与大企业的负责人为同一人的情形。</w:t>
      </w:r>
    </w:p>
    <w:p w14:paraId="603A6CD8">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本企业对上述声明内容的真实性负责。如有虚假，将依法承担相应责任。</w:t>
      </w:r>
    </w:p>
    <w:p w14:paraId="6E861421">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企业名称（盖章）：</w:t>
      </w:r>
    </w:p>
    <w:p w14:paraId="677BD9DC">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日期：</w:t>
      </w:r>
    </w:p>
    <w:p w14:paraId="651A2276">
      <w:pPr>
        <w:pStyle w:val="21"/>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p>
    <w:p w14:paraId="3F4D010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sz w:val="32"/>
          <w:szCs w:val="32"/>
        </w:rPr>
      </w:pPr>
    </w:p>
    <w:sectPr>
      <w:pgSz w:w="11906" w:h="16838"/>
      <w:pgMar w:top="1134" w:right="1134" w:bottom="1247"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
    <w:p>
      <w:r>
        <w:separator/>
      </w:r>
    </w:p>
  </w:endnote>
  <w:endnote w:type="continuationSeparator" w:id="3">
    <w:p>
      <w:r>
        <w:continuationSeparator/>
      </w:r>
    </w:p>
  </w:endnote>
  <w:endnote w:id="0">
    <w:p w14:paraId="3F4F059A">
      <w:pPr>
        <w:pStyle w:val="24"/>
      </w:pPr>
      <w:r>
        <w:rPr>
          <w:rStyle w:val="40"/>
        </w:rPr>
        <w:endnoteRef/>
      </w:r>
      <w:r>
        <w:t xml:space="preserve"> </w:t>
      </w:r>
      <w:r>
        <w:rPr>
          <w:rFonts w:hint="eastAsia" w:ascii="宋体"/>
          <w:sz w:val="18"/>
        </w:rPr>
        <w:t>从业人员、营业收入、资产总额填报上一年度数据，无上一年度数据的新成立企业可不填报</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A00002EF" w:usb1="4000207B" w:usb2="00000000" w:usb3="00000000" w:csb0="2000019F" w:csb1="00000000"/>
  </w:font>
  <w:font w:name="BatangChe">
    <w:panose1 w:val="02030609000101010101"/>
    <w:charset w:val="81"/>
    <w:family w:val="modern"/>
    <w:pitch w:val="default"/>
    <w:sig w:usb0="B00002AF" w:usb1="69D77CFB" w:usb2="00000030" w:usb3="00000000" w:csb0="4008009F" w:csb1="DFD70000"/>
  </w:font>
  <w:font w:name="Cambria">
    <w:panose1 w:val="02040503050406030204"/>
    <w:charset w:val="00"/>
    <w:family w:val="roman"/>
    <w:pitch w:val="default"/>
    <w:sig w:usb0="A00002EF" w:usb1="4000004B" w:usb2="00000000"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A00002BF" w:usb1="38CF7CFA" w:usb2="00082016"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BCECB">
    <w:pPr>
      <w:pStyle w:val="2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30387">
    <w:pPr>
      <w:pStyle w:val="26"/>
      <w:tabs>
        <w:tab w:val="left" w:pos="5469"/>
      </w:tabs>
    </w:pPr>
    <w:r>
      <w:rPr>
        <w:rFonts w:hint="eastAsia"/>
      </w:rPr>
      <w:tab/>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ED15D">
    <w:pPr>
      <w:pStyle w:val="2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B0635E4">
                          <w:pPr>
                            <w:pStyle w:val="26"/>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LA46zLAQAAlwMAAA4AAABkcnMvZTJvRG9jLnhtbK1TS27bMBDd&#10;F8gdCO5jKS7SCoLlIIWRIEDRFkh7AJoiLQL8gUNb8gXaG3TVTfc9l8/RISU5RbrJIhtqhjN8M+/N&#10;aHUzGE0OIoBytqFXi5ISYblrld019NvXu8uKEojMtkw7Kxp6FEBv1hdvVr2vxdJ1TrciEASxUPe+&#10;oV2Mvi4K4J0wDBbOC4tB6YJhEd2wK9rAekQ3uliW5buid6H1wXEBgLebMUgnxPASQCel4mLj+N4I&#10;G0fUIDSLSAk65YGuc7dSCh4/SwkiEt1QZBrziUXQ3qazWK9YvQvMd4pPLbCXtPCMk2HKYtEz1IZF&#10;RvZB/QdlFA8OnIwL7kwxEsmKIIur8pk2jx3zInNBqcGfRYfXg+WfDl8CUW1Dl5RYZnDgp58/Tr/+&#10;nH5/J2+TPL2HGrMePebF4YMbcGnme8DLxHqQwaQv8iEYR3GPZ3HFEAlPj6plVZUY4hibHcQvnp77&#10;APFeOEOS0dCA08uissNHiGPqnJKqWXentM4T1Jb0iHpdvb/OL84hRNcWiyQWY7fJisN2mKhtXXtE&#10;Zj2uQEMtbjwl+sGiwmlbZiPMxnYyUnnwt/uILeTOEuoINRXDeWVu026lhfjXz1lP/9P6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DSwOOsywEAAJcDAAAOAAAAAAAAAAEAIAAAACIBAABkcnMv&#10;ZTJvRG9jLnhtbFBLBQYAAAAABgAGAFkBAABfBQAAAAA=&#10;">
              <v:fill on="f" focussize="0,0"/>
              <v:stroke on="f" weight="1.25pt"/>
              <v:imagedata o:title=""/>
              <o:lock v:ext="edit" aspectratio="f"/>
              <v:textbox inset="0mm,0mm,0mm,0mm" style="mso-fit-shape-to-text:t;">
                <w:txbxContent>
                  <w:p w14:paraId="1B0635E4">
                    <w:pPr>
                      <w:pStyle w:val="26"/>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90A3B">
    <w:pPr>
      <w:pStyle w:val="26"/>
      <w:tabs>
        <w:tab w:val="left" w:pos="5469"/>
      </w:tabs>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2F2EB05">
                          <w:pPr>
                            <w:pStyle w:val="2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yPJ8TMAQAAlwMAAA4AAABkcnMvZTJvRG9jLnhtbK1TS27bMBDd&#10;F8gdCO5jKW7TCoLloIWRokDRFkhyAJoiLQL8gUNb8gXaG3TVTfc9l8+RISU5RbrJohtqhjN8M+/N&#10;aHUzGE0OIoBytqFXi5ISYblrld019OH+9rKiBCKzLdPOioYeBdCb9cWrVe9rsXSd060IBEEs1L1v&#10;aBejr4sCeCcMg4XzwmJQumBYRDfsijawHtGNLpZl+bboXWh9cFwA4O1mDNIJMbwE0EmpuNg4vjfC&#10;xhE1CM0iUoJOeaDr3K2UgsevUoKIRDcUmcZ8YhG0t+ks1itW7wLzneJTC+wlLTzjZJiyWPQMtWGR&#10;kX1Q/0AZxYMDJ+OCO1OMRLIiyOKqfKbNXce8yFxQavBn0eH/wfIvh2+BqLahrymxzODATz9/nH79&#10;Of3+Tt4keXoPNWbdecyLwwc34NLM94CXifUgg0lf5EMwjuIez+KKIRKeHlXLqioxxDE2O4hfPD33&#10;AeJH4QxJRkMDTi+Lyg6fIY6pc0qqZt2t0jpPUFvSI+p19e46vziHEF1bLJJYjN0mKw7bYaK2de0R&#10;mfW4Ag21uPGU6E8WFU7bMhthNraTkcqDf7+P2ELuLKGOUFMxnFfmNu1WWoi//Zz19D+tH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oaYJL0wAAAAUBAAAPAAAAAAAAAAEAIAAAACIAAABkcnMvZG93&#10;bnJldi54bWxQSwECFAAUAAAACACHTuJALI8nxMwBAACXAwAADgAAAAAAAAABACAAAAAiAQAAZHJz&#10;L2Uyb0RvYy54bWxQSwUGAAAAAAYABgBZAQAAYAUAAAAA&#10;">
              <v:fill on="f" focussize="0,0"/>
              <v:stroke on="f" weight="1.25pt"/>
              <v:imagedata o:title=""/>
              <o:lock v:ext="edit" aspectratio="f"/>
              <v:textbox inset="0mm,0mm,0mm,0mm" style="mso-fit-shape-to-text:t;">
                <w:txbxContent>
                  <w:p w14:paraId="22F2EB05">
                    <w:pPr>
                      <w:pStyle w:val="2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0DF1C">
    <w:pPr>
      <w:pStyle w:val="27"/>
      <w:jc w:val="right"/>
      <w:rPr>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B108B">
    <w:pPr>
      <w:pStyle w:val="27"/>
      <w:pBdr>
        <w:bottom w:val="none" w:color="auto" w:sz="0" w:space="1"/>
      </w:pBdr>
      <w:tabs>
        <w:tab w:val="left" w:pos="7632"/>
        <w:tab w:val="right" w:pos="9764"/>
      </w:tabs>
      <w:jc w:val="left"/>
      <w:rPr>
        <w:b/>
        <w:i/>
        <w:color w:val="FF0000"/>
        <w:u w:val="single"/>
        <w:shd w:val="pct10" w:color="auto" w:fill="FFFFF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BFCBA">
    <w:pPr>
      <w:pStyle w:val="27"/>
      <w:tabs>
        <w:tab w:val="left" w:pos="7632"/>
        <w:tab w:val="right" w:pos="9764"/>
      </w:tabs>
      <w:jc w:val="right"/>
      <w:rPr>
        <w:b/>
        <w:i/>
        <w:color w:val="FF0000"/>
        <w:u w:val="single"/>
        <w:shd w:val="pct10" w:color="auto" w:fill="FFFFFF"/>
      </w:rPr>
    </w:pPr>
    <w:r>
      <w:rPr>
        <w:rFonts w:hint="eastAsia" w:ascii="仿宋" w:hAnsi="仿宋" w:eastAsia="仿宋" w:cs="仿宋"/>
        <w:b/>
        <w:i/>
        <w:color w:val="FF0000"/>
        <w:kern w:val="0"/>
        <w:sz w:val="21"/>
        <w:szCs w:val="21"/>
      </w:rPr>
      <w:tab/>
    </w:r>
    <w:r>
      <w:rPr>
        <w:rFonts w:hint="eastAsia" w:ascii="仿宋" w:hAnsi="仿宋" w:eastAsia="仿宋" w:cs="仿宋"/>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291F9"/>
    <w:multiLevelType w:val="singleLevel"/>
    <w:tmpl w:val="8C9291F9"/>
    <w:lvl w:ilvl="0" w:tentative="0">
      <w:start w:val="1"/>
      <w:numFmt w:val="decimal"/>
      <w:pStyle w:val="12"/>
      <w:lvlText w:val="%1."/>
      <w:lvlJc w:val="left"/>
      <w:pPr>
        <w:tabs>
          <w:tab w:val="left" w:pos="360"/>
        </w:tabs>
        <w:ind w:left="360" w:hanging="360"/>
      </w:pPr>
    </w:lvl>
  </w:abstractNum>
  <w:abstractNum w:abstractNumId="1">
    <w:nsid w:val="BF23AFBC"/>
    <w:multiLevelType w:val="singleLevel"/>
    <w:tmpl w:val="BF23AFBC"/>
    <w:lvl w:ilvl="0" w:tentative="0">
      <w:start w:val="2"/>
      <w:numFmt w:val="decimal"/>
      <w:suff w:val="nothing"/>
      <w:lvlText w:val="%1、"/>
      <w:lvlJc w:val="left"/>
      <w:pPr>
        <w:ind w:left="-10"/>
      </w:pPr>
    </w:lvl>
  </w:abstractNum>
  <w:abstractNum w:abstractNumId="2">
    <w:nsid w:val="00000001"/>
    <w:multiLevelType w:val="multilevel"/>
    <w:tmpl w:val="00000001"/>
    <w:lvl w:ilvl="0" w:tentative="0">
      <w:start w:val="1"/>
      <w:numFmt w:val="decimal"/>
      <w:lvlText w:val="%1"/>
      <w:lvlJc w:val="left"/>
      <w:pPr>
        <w:tabs>
          <w:tab w:val="left" w:pos="360"/>
        </w:tabs>
        <w:ind w:left="284" w:hanging="284"/>
      </w:pPr>
      <w:rPr>
        <w:rFonts w:hint="default" w:ascii="Times New Roman" w:hAnsi="Times New Roman"/>
        <w:b/>
        <w:i w:val="0"/>
        <w:sz w:val="28"/>
      </w:rPr>
    </w:lvl>
    <w:lvl w:ilvl="1" w:tentative="0">
      <w:start w:val="1"/>
      <w:numFmt w:val="decimal"/>
      <w:lvlText w:val="%1.%2"/>
      <w:lvlJc w:val="left"/>
      <w:pPr>
        <w:tabs>
          <w:tab w:val="left" w:pos="1021"/>
        </w:tabs>
        <w:ind w:left="1021" w:hanging="596"/>
      </w:pPr>
      <w:rPr>
        <w:rFonts w:hint="default" w:ascii="Times New Roman" w:hAnsi="Times New Roman"/>
        <w:b/>
        <w:i w:val="0"/>
        <w:sz w:val="28"/>
      </w:rPr>
    </w:lvl>
    <w:lvl w:ilvl="2" w:tentative="0">
      <w:start w:val="1"/>
      <w:numFmt w:val="decimal"/>
      <w:lvlText w:val="%1.%2.%3"/>
      <w:lvlJc w:val="left"/>
      <w:pPr>
        <w:tabs>
          <w:tab w:val="left" w:pos="1588"/>
        </w:tabs>
        <w:ind w:left="1588" w:hanging="737"/>
      </w:pPr>
      <w:rPr>
        <w:rFonts w:hint="default" w:ascii="Times New Roman" w:hAnsi="Times New Roman"/>
        <w:b/>
        <w:i w:val="0"/>
        <w:sz w:val="24"/>
      </w:rPr>
    </w:lvl>
    <w:lvl w:ilvl="3" w:tentative="0">
      <w:start w:val="1"/>
      <w:numFmt w:val="decimal"/>
      <w:pStyle w:val="6"/>
      <w:lvlText w:val="%1.%2.%3.%4"/>
      <w:lvlJc w:val="left"/>
      <w:pPr>
        <w:tabs>
          <w:tab w:val="left" w:pos="2155"/>
        </w:tabs>
        <w:ind w:left="2155" w:hanging="1078"/>
      </w:pPr>
      <w:rPr>
        <w:rFonts w:hint="default" w:ascii="Arial" w:hAnsi="Arial"/>
        <w:b w:val="0"/>
        <w:i w:val="0"/>
        <w:sz w:val="24"/>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3">
    <w:nsid w:val="00000008"/>
    <w:multiLevelType w:val="multilevel"/>
    <w:tmpl w:val="00000008"/>
    <w:lvl w:ilvl="0" w:tentative="0">
      <w:start w:val="1"/>
      <w:numFmt w:val="bullet"/>
      <w:pStyle w:val="67"/>
      <w:lvlText w:val=""/>
      <w:lvlJc w:val="left"/>
      <w:pPr>
        <w:tabs>
          <w:tab w:val="left" w:pos="0"/>
        </w:tabs>
        <w:ind w:left="839" w:hanging="419"/>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00000009"/>
    <w:multiLevelType w:val="multilevel"/>
    <w:tmpl w:val="00000009"/>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pStyle w:val="7"/>
      <w:lvlText w:val="%1.%2.%3.%4.%5"/>
      <w:lvlJc w:val="left"/>
      <w:pPr>
        <w:tabs>
          <w:tab w:val="left" w:pos="2551"/>
        </w:tabs>
        <w:ind w:left="2551" w:hanging="850"/>
      </w:pPr>
    </w:lvl>
    <w:lvl w:ilvl="5" w:tentative="0">
      <w:start w:val="1"/>
      <w:numFmt w:val="decimal"/>
      <w:pStyle w:val="8"/>
      <w:lvlText w:val="%1.%2.%3.%4.%5.%6"/>
      <w:lvlJc w:val="left"/>
      <w:pPr>
        <w:tabs>
          <w:tab w:val="left" w:pos="3260"/>
        </w:tabs>
        <w:ind w:left="3260" w:hanging="1134"/>
      </w:pPr>
    </w:lvl>
    <w:lvl w:ilvl="6" w:tentative="0">
      <w:start w:val="1"/>
      <w:numFmt w:val="decimal"/>
      <w:pStyle w:val="9"/>
      <w:lvlText w:val="%1.%2.%3.%4.%5.%6.%7"/>
      <w:lvlJc w:val="left"/>
      <w:pPr>
        <w:tabs>
          <w:tab w:val="left" w:pos="3827"/>
        </w:tabs>
        <w:ind w:left="3827" w:hanging="1276"/>
      </w:pPr>
    </w:lvl>
    <w:lvl w:ilvl="7" w:tentative="0">
      <w:start w:val="1"/>
      <w:numFmt w:val="decimal"/>
      <w:pStyle w:val="10"/>
      <w:lvlText w:val="%1.%2.%3.%4.%5.%6.%7.%8"/>
      <w:lvlJc w:val="left"/>
      <w:pPr>
        <w:tabs>
          <w:tab w:val="left" w:pos="4394"/>
        </w:tabs>
        <w:ind w:left="4394" w:hanging="1418"/>
      </w:pPr>
    </w:lvl>
    <w:lvl w:ilvl="8" w:tentative="0">
      <w:start w:val="1"/>
      <w:numFmt w:val="decimal"/>
      <w:pStyle w:val="11"/>
      <w:lvlText w:val="%1.%2.%3.%4.%5.%6.%7.%8.%9"/>
      <w:lvlJc w:val="left"/>
      <w:pPr>
        <w:tabs>
          <w:tab w:val="left" w:pos="5102"/>
        </w:tabs>
        <w:ind w:left="5102" w:hanging="1700"/>
      </w:pPr>
    </w:lvl>
  </w:abstractNum>
  <w:abstractNum w:abstractNumId="5">
    <w:nsid w:val="0000000B"/>
    <w:multiLevelType w:val="multilevel"/>
    <w:tmpl w:val="0000000B"/>
    <w:lvl w:ilvl="0" w:tentative="0">
      <w:start w:val="1"/>
      <w:numFmt w:val="decimal"/>
      <w:pStyle w:val="64"/>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43D04771"/>
    <w:multiLevelType w:val="multilevel"/>
    <w:tmpl w:val="43D04771"/>
    <w:lvl w:ilvl="0" w:tentative="0">
      <w:start w:val="1"/>
      <w:numFmt w:val="decimal"/>
      <w:pStyle w:val="85"/>
      <w:isLgl/>
      <w:suff w:val="space"/>
      <w:lvlText w:val="第%1章"/>
      <w:lvlJc w:val="left"/>
      <w:pPr>
        <w:ind w:left="0" w:firstLine="0"/>
      </w:pPr>
      <w:rPr>
        <w:rFonts w:hint="eastAsia"/>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pStyle w:val="86"/>
      <w:suff w:val="space"/>
      <w:lvlText w:val="%1.%2.%3.%4"/>
      <w:lvlJc w:val="left"/>
      <w:pPr>
        <w:ind w:left="0" w:firstLine="0"/>
      </w:pPr>
      <w:rPr>
        <w:rFonts w:hint="eastAsia"/>
      </w:rPr>
    </w:lvl>
    <w:lvl w:ilvl="4" w:tentative="0">
      <w:start w:val="1"/>
      <w:numFmt w:val="decimal"/>
      <w:suff w:val="space"/>
      <w:lvlText w:val="%1.%2.%3.%4.%5"/>
      <w:lvlJc w:val="left"/>
      <w:pPr>
        <w:ind w:left="0" w:firstLine="0"/>
      </w:pPr>
      <w:rPr>
        <w:rFonts w:hint="eastAsia"/>
      </w:rPr>
    </w:lvl>
    <w:lvl w:ilvl="5" w:tentative="0">
      <w:start w:val="1"/>
      <w:numFmt w:val="decimal"/>
      <w:suff w:val="space"/>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7">
    <w:nsid w:val="5DA90252"/>
    <w:multiLevelType w:val="singleLevel"/>
    <w:tmpl w:val="5DA90252"/>
    <w:lvl w:ilvl="0" w:tentative="0">
      <w:start w:val="6"/>
      <w:numFmt w:val="chineseCounting"/>
      <w:suff w:val="space"/>
      <w:lvlText w:val="第%1章"/>
      <w:lvlJc w:val="left"/>
      <w:rPr>
        <w:rFonts w:hint="eastAsia"/>
      </w:rPr>
    </w:lvl>
  </w:abstractNum>
  <w:num w:numId="1">
    <w:abstractNumId w:val="2"/>
  </w:num>
  <w:num w:numId="2">
    <w:abstractNumId w:val="4"/>
  </w:num>
  <w:num w:numId="3">
    <w:abstractNumId w:val="0"/>
  </w:num>
  <w:num w:numId="4">
    <w:abstractNumId w:val="5"/>
  </w:num>
  <w:num w:numId="5">
    <w:abstractNumId w:val="3"/>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endnotePr>
    <w:endnote w:id="2"/>
    <w:endnote w:id="3"/>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NlNWZlZTFmYTMwOTgwMWVmNjI3YmMzZTZjOWM0ZGMifQ=="/>
  </w:docVars>
  <w:rsids>
    <w:rsidRoot w:val="00172A27"/>
    <w:rsid w:val="000415F8"/>
    <w:rsid w:val="00172A27"/>
    <w:rsid w:val="0020473B"/>
    <w:rsid w:val="00253F54"/>
    <w:rsid w:val="003101DB"/>
    <w:rsid w:val="00311679"/>
    <w:rsid w:val="003D1174"/>
    <w:rsid w:val="005130B4"/>
    <w:rsid w:val="0052597F"/>
    <w:rsid w:val="00526016"/>
    <w:rsid w:val="00571A00"/>
    <w:rsid w:val="006F2435"/>
    <w:rsid w:val="00715117"/>
    <w:rsid w:val="0084748F"/>
    <w:rsid w:val="00893B5B"/>
    <w:rsid w:val="00922C6F"/>
    <w:rsid w:val="0096061B"/>
    <w:rsid w:val="00AC0346"/>
    <w:rsid w:val="00B46F88"/>
    <w:rsid w:val="00BD50B0"/>
    <w:rsid w:val="00C62865"/>
    <w:rsid w:val="00CD5C79"/>
    <w:rsid w:val="00D75758"/>
    <w:rsid w:val="00D778E3"/>
    <w:rsid w:val="00DD2636"/>
    <w:rsid w:val="00E638B6"/>
    <w:rsid w:val="00E924C7"/>
    <w:rsid w:val="00F0392D"/>
    <w:rsid w:val="01246965"/>
    <w:rsid w:val="013073E6"/>
    <w:rsid w:val="014E2D33"/>
    <w:rsid w:val="01AE350B"/>
    <w:rsid w:val="01AF5212"/>
    <w:rsid w:val="024141DC"/>
    <w:rsid w:val="0263422A"/>
    <w:rsid w:val="02946633"/>
    <w:rsid w:val="03366895"/>
    <w:rsid w:val="037B0D77"/>
    <w:rsid w:val="0460421A"/>
    <w:rsid w:val="04B42D2C"/>
    <w:rsid w:val="05081F51"/>
    <w:rsid w:val="051F2DC1"/>
    <w:rsid w:val="05645BE9"/>
    <w:rsid w:val="059E1833"/>
    <w:rsid w:val="05B3729F"/>
    <w:rsid w:val="061A0FC5"/>
    <w:rsid w:val="06432B56"/>
    <w:rsid w:val="07E071B9"/>
    <w:rsid w:val="08484E49"/>
    <w:rsid w:val="09287663"/>
    <w:rsid w:val="098947F4"/>
    <w:rsid w:val="09D436FC"/>
    <w:rsid w:val="0C5E13ED"/>
    <w:rsid w:val="0C93661A"/>
    <w:rsid w:val="0CC53777"/>
    <w:rsid w:val="0CE2549F"/>
    <w:rsid w:val="0CF912D1"/>
    <w:rsid w:val="0D4E5C31"/>
    <w:rsid w:val="0DAA6737"/>
    <w:rsid w:val="0E7F5D10"/>
    <w:rsid w:val="0F492278"/>
    <w:rsid w:val="0F772D33"/>
    <w:rsid w:val="0F9879F0"/>
    <w:rsid w:val="0F9C08F9"/>
    <w:rsid w:val="0FB35FED"/>
    <w:rsid w:val="10054A19"/>
    <w:rsid w:val="102B0A46"/>
    <w:rsid w:val="105B730A"/>
    <w:rsid w:val="111E483E"/>
    <w:rsid w:val="11C20769"/>
    <w:rsid w:val="12246164"/>
    <w:rsid w:val="123E024F"/>
    <w:rsid w:val="12490E8B"/>
    <w:rsid w:val="124B52A4"/>
    <w:rsid w:val="12AC38F3"/>
    <w:rsid w:val="12DB401D"/>
    <w:rsid w:val="1350193B"/>
    <w:rsid w:val="136460B1"/>
    <w:rsid w:val="139D220B"/>
    <w:rsid w:val="13A46379"/>
    <w:rsid w:val="142D1588"/>
    <w:rsid w:val="14547622"/>
    <w:rsid w:val="15AC7766"/>
    <w:rsid w:val="16EC086B"/>
    <w:rsid w:val="17136724"/>
    <w:rsid w:val="175B5873"/>
    <w:rsid w:val="17C27715"/>
    <w:rsid w:val="17E86D1E"/>
    <w:rsid w:val="18A55883"/>
    <w:rsid w:val="1A451550"/>
    <w:rsid w:val="1A646A81"/>
    <w:rsid w:val="1CA8280C"/>
    <w:rsid w:val="1CBF06C7"/>
    <w:rsid w:val="1CFD6E9D"/>
    <w:rsid w:val="1D05780D"/>
    <w:rsid w:val="1E4B3942"/>
    <w:rsid w:val="1E525643"/>
    <w:rsid w:val="1E651E07"/>
    <w:rsid w:val="1F7E932E"/>
    <w:rsid w:val="1FC13FC5"/>
    <w:rsid w:val="1FE11840"/>
    <w:rsid w:val="1FE9201C"/>
    <w:rsid w:val="20770582"/>
    <w:rsid w:val="20AF6E0A"/>
    <w:rsid w:val="20D62960"/>
    <w:rsid w:val="21B459DD"/>
    <w:rsid w:val="21E821D6"/>
    <w:rsid w:val="22347461"/>
    <w:rsid w:val="227853F6"/>
    <w:rsid w:val="234B5AD2"/>
    <w:rsid w:val="23DC18FD"/>
    <w:rsid w:val="243960BA"/>
    <w:rsid w:val="243E45C7"/>
    <w:rsid w:val="249828C7"/>
    <w:rsid w:val="24B22604"/>
    <w:rsid w:val="24F0116B"/>
    <w:rsid w:val="25097A81"/>
    <w:rsid w:val="253001CE"/>
    <w:rsid w:val="25780F50"/>
    <w:rsid w:val="259E274F"/>
    <w:rsid w:val="25B244ED"/>
    <w:rsid w:val="25EB788A"/>
    <w:rsid w:val="263D1056"/>
    <w:rsid w:val="266F2816"/>
    <w:rsid w:val="26AC214C"/>
    <w:rsid w:val="26B819CB"/>
    <w:rsid w:val="27BE3670"/>
    <w:rsid w:val="29A006B7"/>
    <w:rsid w:val="29FE06C0"/>
    <w:rsid w:val="2A932565"/>
    <w:rsid w:val="2AB333D2"/>
    <w:rsid w:val="2B4C175D"/>
    <w:rsid w:val="2BAF1750"/>
    <w:rsid w:val="2BF8505C"/>
    <w:rsid w:val="2D730DC8"/>
    <w:rsid w:val="2D851A3E"/>
    <w:rsid w:val="2DC55411"/>
    <w:rsid w:val="2DC930C6"/>
    <w:rsid w:val="2E262354"/>
    <w:rsid w:val="2E5642BC"/>
    <w:rsid w:val="2E5F3031"/>
    <w:rsid w:val="2ED7364E"/>
    <w:rsid w:val="2EF520E1"/>
    <w:rsid w:val="2F1D56EB"/>
    <w:rsid w:val="2F350557"/>
    <w:rsid w:val="2F43399E"/>
    <w:rsid w:val="2F776BDF"/>
    <w:rsid w:val="309E59E6"/>
    <w:rsid w:val="3159025E"/>
    <w:rsid w:val="317F533B"/>
    <w:rsid w:val="31DA13E1"/>
    <w:rsid w:val="32073E4F"/>
    <w:rsid w:val="320C1DA0"/>
    <w:rsid w:val="32587E79"/>
    <w:rsid w:val="338D1391"/>
    <w:rsid w:val="33BB4933"/>
    <w:rsid w:val="33E30E17"/>
    <w:rsid w:val="34897199"/>
    <w:rsid w:val="34B13EEE"/>
    <w:rsid w:val="34F3354C"/>
    <w:rsid w:val="34FD1B8C"/>
    <w:rsid w:val="350D486E"/>
    <w:rsid w:val="355A6D87"/>
    <w:rsid w:val="35926521"/>
    <w:rsid w:val="36216E22"/>
    <w:rsid w:val="36864244"/>
    <w:rsid w:val="36AD3978"/>
    <w:rsid w:val="37695A99"/>
    <w:rsid w:val="379B1B4A"/>
    <w:rsid w:val="37F45271"/>
    <w:rsid w:val="39036CAE"/>
    <w:rsid w:val="39AE76A2"/>
    <w:rsid w:val="3A487647"/>
    <w:rsid w:val="3A6A6B44"/>
    <w:rsid w:val="3B1B093A"/>
    <w:rsid w:val="3B73520B"/>
    <w:rsid w:val="3BBD3BCC"/>
    <w:rsid w:val="3BBE54BE"/>
    <w:rsid w:val="3BEB6DE8"/>
    <w:rsid w:val="3BFF6EC3"/>
    <w:rsid w:val="3D7A3819"/>
    <w:rsid w:val="3DDFE495"/>
    <w:rsid w:val="3EE31B01"/>
    <w:rsid w:val="3EF634C7"/>
    <w:rsid w:val="3FDC7100"/>
    <w:rsid w:val="3FFAE1D6"/>
    <w:rsid w:val="3FFD3440"/>
    <w:rsid w:val="402C3758"/>
    <w:rsid w:val="41B021B1"/>
    <w:rsid w:val="41BA3087"/>
    <w:rsid w:val="421A489E"/>
    <w:rsid w:val="424B51BB"/>
    <w:rsid w:val="425B6370"/>
    <w:rsid w:val="42AD609D"/>
    <w:rsid w:val="42F04887"/>
    <w:rsid w:val="42FF4350"/>
    <w:rsid w:val="432C73D6"/>
    <w:rsid w:val="438A6A89"/>
    <w:rsid w:val="45352021"/>
    <w:rsid w:val="45D64208"/>
    <w:rsid w:val="473532F5"/>
    <w:rsid w:val="47932A26"/>
    <w:rsid w:val="47B07814"/>
    <w:rsid w:val="47FB50C4"/>
    <w:rsid w:val="47FE6B56"/>
    <w:rsid w:val="4810061F"/>
    <w:rsid w:val="48C06D05"/>
    <w:rsid w:val="48EB61AE"/>
    <w:rsid w:val="494114F3"/>
    <w:rsid w:val="4A3F301D"/>
    <w:rsid w:val="4A657578"/>
    <w:rsid w:val="4A6F2535"/>
    <w:rsid w:val="4AC17D05"/>
    <w:rsid w:val="4B875D86"/>
    <w:rsid w:val="4C28429B"/>
    <w:rsid w:val="4CB07D08"/>
    <w:rsid w:val="4CD95EEC"/>
    <w:rsid w:val="4DE35545"/>
    <w:rsid w:val="4E914C5A"/>
    <w:rsid w:val="4EC47BDA"/>
    <w:rsid w:val="4EED3475"/>
    <w:rsid w:val="4F3D70A6"/>
    <w:rsid w:val="4F8D7309"/>
    <w:rsid w:val="4F9978C3"/>
    <w:rsid w:val="4FDD7ECB"/>
    <w:rsid w:val="50110225"/>
    <w:rsid w:val="50126A00"/>
    <w:rsid w:val="504E416E"/>
    <w:rsid w:val="508F56DF"/>
    <w:rsid w:val="50CD65E8"/>
    <w:rsid w:val="50CF0D6C"/>
    <w:rsid w:val="50FB2073"/>
    <w:rsid w:val="51135A99"/>
    <w:rsid w:val="51204589"/>
    <w:rsid w:val="51E94916"/>
    <w:rsid w:val="52926C9E"/>
    <w:rsid w:val="52C53AD8"/>
    <w:rsid w:val="53102D1D"/>
    <w:rsid w:val="53173DFD"/>
    <w:rsid w:val="53F73937"/>
    <w:rsid w:val="549326E7"/>
    <w:rsid w:val="551F2CC7"/>
    <w:rsid w:val="553E5926"/>
    <w:rsid w:val="553F5893"/>
    <w:rsid w:val="557D4954"/>
    <w:rsid w:val="55810C0E"/>
    <w:rsid w:val="55B22A4D"/>
    <w:rsid w:val="55DF4343"/>
    <w:rsid w:val="563665FD"/>
    <w:rsid w:val="567320E4"/>
    <w:rsid w:val="56B5302E"/>
    <w:rsid w:val="56E32FF4"/>
    <w:rsid w:val="56EE584E"/>
    <w:rsid w:val="572B300A"/>
    <w:rsid w:val="574D3EA1"/>
    <w:rsid w:val="581C4C66"/>
    <w:rsid w:val="585A19A8"/>
    <w:rsid w:val="58670CF0"/>
    <w:rsid w:val="58953AAF"/>
    <w:rsid w:val="58BD50A1"/>
    <w:rsid w:val="58CC67ED"/>
    <w:rsid w:val="58D216F7"/>
    <w:rsid w:val="58F777A9"/>
    <w:rsid w:val="590B3138"/>
    <w:rsid w:val="59461D88"/>
    <w:rsid w:val="59BF0804"/>
    <w:rsid w:val="5AA86512"/>
    <w:rsid w:val="5ACA6C6C"/>
    <w:rsid w:val="5AF605B0"/>
    <w:rsid w:val="5B5804FD"/>
    <w:rsid w:val="5B8068B1"/>
    <w:rsid w:val="5BDE4311"/>
    <w:rsid w:val="5BDF4DED"/>
    <w:rsid w:val="5C4A422D"/>
    <w:rsid w:val="5C73774C"/>
    <w:rsid w:val="5CB04960"/>
    <w:rsid w:val="5CCA6375"/>
    <w:rsid w:val="5CFE1DB7"/>
    <w:rsid w:val="5D1A0A26"/>
    <w:rsid w:val="5D2964E2"/>
    <w:rsid w:val="5D375134"/>
    <w:rsid w:val="5D9A56C3"/>
    <w:rsid w:val="5DA622BA"/>
    <w:rsid w:val="5DB01771"/>
    <w:rsid w:val="5E0503F5"/>
    <w:rsid w:val="5ECE17D8"/>
    <w:rsid w:val="5F13771C"/>
    <w:rsid w:val="5F245D0C"/>
    <w:rsid w:val="5F2E6A0B"/>
    <w:rsid w:val="5FB145AA"/>
    <w:rsid w:val="600D4872"/>
    <w:rsid w:val="6037369D"/>
    <w:rsid w:val="60997B45"/>
    <w:rsid w:val="609B45FE"/>
    <w:rsid w:val="612C6F7A"/>
    <w:rsid w:val="616744AD"/>
    <w:rsid w:val="61CA3CCD"/>
    <w:rsid w:val="61F26A52"/>
    <w:rsid w:val="62C05BCC"/>
    <w:rsid w:val="62FF76E0"/>
    <w:rsid w:val="63C7395B"/>
    <w:rsid w:val="63D334B4"/>
    <w:rsid w:val="64D8544F"/>
    <w:rsid w:val="64DA1364"/>
    <w:rsid w:val="653D5D2C"/>
    <w:rsid w:val="65AB59EF"/>
    <w:rsid w:val="65BD5AE3"/>
    <w:rsid w:val="65DA7999"/>
    <w:rsid w:val="68C25729"/>
    <w:rsid w:val="693C025E"/>
    <w:rsid w:val="69966816"/>
    <w:rsid w:val="6A4349D0"/>
    <w:rsid w:val="6AED63ED"/>
    <w:rsid w:val="6AF056C1"/>
    <w:rsid w:val="6B6A0DCB"/>
    <w:rsid w:val="6B957840"/>
    <w:rsid w:val="6C1C000B"/>
    <w:rsid w:val="6CF251AF"/>
    <w:rsid w:val="6D7266C4"/>
    <w:rsid w:val="6DAE233A"/>
    <w:rsid w:val="6DB0152E"/>
    <w:rsid w:val="6DDF7C74"/>
    <w:rsid w:val="6DF59BE1"/>
    <w:rsid w:val="6E4877BB"/>
    <w:rsid w:val="6EB61BB4"/>
    <w:rsid w:val="6EB63BEB"/>
    <w:rsid w:val="6EFE1C84"/>
    <w:rsid w:val="6F093748"/>
    <w:rsid w:val="701632CF"/>
    <w:rsid w:val="70754A6D"/>
    <w:rsid w:val="7080677E"/>
    <w:rsid w:val="716C7865"/>
    <w:rsid w:val="718F5296"/>
    <w:rsid w:val="71C8289D"/>
    <w:rsid w:val="71EC4EC1"/>
    <w:rsid w:val="725058F5"/>
    <w:rsid w:val="727D429A"/>
    <w:rsid w:val="72E42DE7"/>
    <w:rsid w:val="73122116"/>
    <w:rsid w:val="734E4B2E"/>
    <w:rsid w:val="73D019E7"/>
    <w:rsid w:val="747E5809"/>
    <w:rsid w:val="74D71F1A"/>
    <w:rsid w:val="76112374"/>
    <w:rsid w:val="77191711"/>
    <w:rsid w:val="774C4DDC"/>
    <w:rsid w:val="779F5360"/>
    <w:rsid w:val="77BD2282"/>
    <w:rsid w:val="781C6298"/>
    <w:rsid w:val="783F2BA1"/>
    <w:rsid w:val="787A1C1C"/>
    <w:rsid w:val="78D80C63"/>
    <w:rsid w:val="78F91AAE"/>
    <w:rsid w:val="793130A8"/>
    <w:rsid w:val="79A342AB"/>
    <w:rsid w:val="79C1737B"/>
    <w:rsid w:val="79C5249A"/>
    <w:rsid w:val="79E11ACC"/>
    <w:rsid w:val="7A1E2593"/>
    <w:rsid w:val="7A30243B"/>
    <w:rsid w:val="7AE9383F"/>
    <w:rsid w:val="7B2B01C0"/>
    <w:rsid w:val="7B607EB4"/>
    <w:rsid w:val="7B7F622A"/>
    <w:rsid w:val="7BA94FF8"/>
    <w:rsid w:val="7BD0155B"/>
    <w:rsid w:val="7BE06688"/>
    <w:rsid w:val="7C065334"/>
    <w:rsid w:val="7C283298"/>
    <w:rsid w:val="7C2876C4"/>
    <w:rsid w:val="7C2E5DB1"/>
    <w:rsid w:val="7C331D9B"/>
    <w:rsid w:val="7C5A2796"/>
    <w:rsid w:val="7C6328C5"/>
    <w:rsid w:val="7C914F02"/>
    <w:rsid w:val="7DA975E0"/>
    <w:rsid w:val="7DDB1A21"/>
    <w:rsid w:val="7DF665F1"/>
    <w:rsid w:val="7E1B6264"/>
    <w:rsid w:val="7E5B0A7C"/>
    <w:rsid w:val="7EA77065"/>
    <w:rsid w:val="7EC722ED"/>
    <w:rsid w:val="7F4A36B2"/>
    <w:rsid w:val="7F762213"/>
    <w:rsid w:val="7F800765"/>
    <w:rsid w:val="BE9F179D"/>
    <w:rsid w:val="BF1EA771"/>
    <w:rsid w:val="BFBFC8EB"/>
    <w:rsid w:val="DBDC9A0D"/>
    <w:rsid w:val="DFDF7903"/>
    <w:rsid w:val="EC738967"/>
    <w:rsid w:val="FBF26947"/>
    <w:rsid w:val="FE2F0CDD"/>
    <w:rsid w:val="FEDDAA4C"/>
    <w:rsid w:val="FF6E1CBF"/>
    <w:rsid w:val="FF9EAA56"/>
    <w:rsid w:val="FFDF4524"/>
    <w:rsid w:val="FFEEC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iPriority="39"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qFormat="1" w:uiPriority="99" w:name="footnote reference"/>
    <w:lsdException w:uiPriority="99"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adjustRightInd w:val="0"/>
      <w:spacing w:before="120" w:line="360" w:lineRule="auto"/>
      <w:textAlignment w:val="baseline"/>
      <w:outlineLvl w:val="0"/>
    </w:pPr>
    <w:rPr>
      <w:rFonts w:ascii="宋体" w:hAnsi="Courier New" w:eastAsia="黑体"/>
      <w:b/>
      <w:kern w:val="44"/>
      <w:sz w:val="28"/>
    </w:rPr>
  </w:style>
  <w:style w:type="paragraph" w:styleId="4">
    <w:name w:val="heading 2"/>
    <w:basedOn w:val="1"/>
    <w:next w:val="1"/>
    <w:qFormat/>
    <w:uiPriority w:val="0"/>
    <w:pPr>
      <w:keepNext/>
      <w:adjustRightInd w:val="0"/>
      <w:spacing w:before="120" w:line="360" w:lineRule="auto"/>
      <w:textAlignment w:val="baseline"/>
      <w:outlineLvl w:val="1"/>
    </w:pPr>
    <w:rPr>
      <w:rFonts w:ascii="宋体" w:hAnsi="Courier New" w:eastAsia="黑体"/>
      <w:b/>
      <w:kern w:val="0"/>
      <w:sz w:val="28"/>
    </w:rPr>
  </w:style>
  <w:style w:type="paragraph" w:styleId="5">
    <w:name w:val="heading 3"/>
    <w:basedOn w:val="1"/>
    <w:next w:val="1"/>
    <w:qFormat/>
    <w:uiPriority w:val="0"/>
    <w:pPr>
      <w:tabs>
        <w:tab w:val="left" w:pos="900"/>
      </w:tabs>
      <w:adjustRightInd w:val="0"/>
      <w:spacing w:before="120" w:line="360" w:lineRule="auto"/>
      <w:textAlignment w:val="baseline"/>
      <w:outlineLvl w:val="2"/>
    </w:pPr>
    <w:rPr>
      <w:rFonts w:ascii="宋体" w:hAnsi="Courier New" w:eastAsia="黑体"/>
      <w:b/>
      <w:kern w:val="0"/>
      <w:sz w:val="28"/>
    </w:rPr>
  </w:style>
  <w:style w:type="paragraph" w:styleId="6">
    <w:name w:val="heading 4"/>
    <w:basedOn w:val="1"/>
    <w:next w:val="1"/>
    <w:qFormat/>
    <w:uiPriority w:val="0"/>
    <w:pPr>
      <w:numPr>
        <w:ilvl w:val="3"/>
        <w:numId w:val="1"/>
      </w:numPr>
      <w:adjustRightInd w:val="0"/>
      <w:spacing w:before="120" w:line="360" w:lineRule="auto"/>
      <w:textAlignment w:val="baseline"/>
      <w:outlineLvl w:val="3"/>
    </w:pPr>
    <w:rPr>
      <w:rFonts w:ascii="Arial" w:hAnsi="Courier New" w:eastAsia="黑体"/>
      <w:kern w:val="0"/>
      <w:sz w:val="28"/>
    </w:rPr>
  </w:style>
  <w:style w:type="paragraph" w:styleId="7">
    <w:name w:val="heading 5"/>
    <w:basedOn w:val="1"/>
    <w:next w:val="1"/>
    <w:qFormat/>
    <w:uiPriority w:val="0"/>
    <w:pPr>
      <w:keepNext/>
      <w:keepLines/>
      <w:numPr>
        <w:ilvl w:val="4"/>
        <w:numId w:val="2"/>
      </w:numPr>
      <w:spacing w:before="280" w:after="290" w:line="376" w:lineRule="auto"/>
      <w:outlineLvl w:val="4"/>
    </w:pPr>
    <w:rPr>
      <w:b/>
      <w:sz w:val="28"/>
    </w:rPr>
  </w:style>
  <w:style w:type="paragraph" w:styleId="8">
    <w:name w:val="heading 6"/>
    <w:basedOn w:val="1"/>
    <w:next w:val="1"/>
    <w:qFormat/>
    <w:uiPriority w:val="0"/>
    <w:pPr>
      <w:keepNext/>
      <w:keepLines/>
      <w:numPr>
        <w:ilvl w:val="5"/>
        <w:numId w:val="2"/>
      </w:numPr>
      <w:tabs>
        <w:tab w:val="left" w:pos="1152"/>
        <w:tab w:val="clear" w:pos="3260"/>
      </w:tabs>
      <w:spacing w:before="240" w:after="64" w:line="320" w:lineRule="auto"/>
      <w:ind w:left="1152" w:hanging="1152"/>
      <w:outlineLvl w:val="5"/>
    </w:pPr>
    <w:rPr>
      <w:rFonts w:ascii="Arial" w:hAnsi="Arial" w:eastAsia="黑体"/>
      <w:b/>
      <w:sz w:val="24"/>
    </w:rPr>
  </w:style>
  <w:style w:type="paragraph" w:styleId="9">
    <w:name w:val="heading 7"/>
    <w:basedOn w:val="1"/>
    <w:next w:val="2"/>
    <w:qFormat/>
    <w:uiPriority w:val="0"/>
    <w:pPr>
      <w:keepNext/>
      <w:keepLines/>
      <w:numPr>
        <w:ilvl w:val="6"/>
        <w:numId w:val="2"/>
      </w:numPr>
      <w:tabs>
        <w:tab w:val="left" w:pos="1296"/>
        <w:tab w:val="clear" w:pos="3827"/>
      </w:tabs>
      <w:spacing w:before="240" w:after="64" w:line="320" w:lineRule="auto"/>
      <w:ind w:left="1296" w:hanging="1296"/>
      <w:outlineLvl w:val="6"/>
    </w:pPr>
    <w:rPr>
      <w:b/>
      <w:sz w:val="24"/>
    </w:rPr>
  </w:style>
  <w:style w:type="paragraph" w:styleId="10">
    <w:name w:val="heading 8"/>
    <w:basedOn w:val="1"/>
    <w:next w:val="2"/>
    <w:qFormat/>
    <w:uiPriority w:val="0"/>
    <w:pPr>
      <w:keepNext/>
      <w:keepLines/>
      <w:numPr>
        <w:ilvl w:val="7"/>
        <w:numId w:val="2"/>
      </w:numPr>
      <w:tabs>
        <w:tab w:val="left" w:pos="1440"/>
        <w:tab w:val="clear" w:pos="4394"/>
      </w:tabs>
      <w:spacing w:before="240" w:after="64" w:line="320" w:lineRule="auto"/>
      <w:ind w:left="1440" w:hanging="1440"/>
      <w:outlineLvl w:val="7"/>
    </w:pPr>
    <w:rPr>
      <w:rFonts w:ascii="Arial" w:hAnsi="Arial" w:eastAsia="黑体"/>
      <w:sz w:val="24"/>
    </w:rPr>
  </w:style>
  <w:style w:type="paragraph" w:styleId="11">
    <w:name w:val="heading 9"/>
    <w:basedOn w:val="1"/>
    <w:next w:val="2"/>
    <w:qFormat/>
    <w:uiPriority w:val="0"/>
    <w:pPr>
      <w:keepNext/>
      <w:keepLines/>
      <w:numPr>
        <w:ilvl w:val="8"/>
        <w:numId w:val="2"/>
      </w:numPr>
      <w:tabs>
        <w:tab w:val="left" w:pos="1584"/>
        <w:tab w:val="clear" w:pos="5102"/>
      </w:tabs>
      <w:spacing w:before="240" w:after="64" w:line="320" w:lineRule="auto"/>
      <w:ind w:left="1584" w:hanging="1584"/>
      <w:outlineLvl w:val="8"/>
    </w:pPr>
    <w:rPr>
      <w:rFonts w:ascii="Arial" w:hAnsi="Arial" w:eastAsia="黑体"/>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方正书宋简体" w:eastAsia="方正书宋简体"/>
      <w:sz w:val="30"/>
      <w:szCs w:val="30"/>
    </w:rPr>
  </w:style>
  <w:style w:type="paragraph" w:styleId="12">
    <w:name w:val="List Number"/>
    <w:basedOn w:val="1"/>
    <w:semiHidden/>
    <w:unhideWhenUsed/>
    <w:qFormat/>
    <w:uiPriority w:val="99"/>
    <w:pPr>
      <w:numPr>
        <w:ilvl w:val="0"/>
        <w:numId w:val="3"/>
      </w:numPr>
    </w:pPr>
  </w:style>
  <w:style w:type="paragraph" w:styleId="13">
    <w:name w:val="caption"/>
    <w:basedOn w:val="1"/>
    <w:next w:val="1"/>
    <w:qFormat/>
    <w:uiPriority w:val="0"/>
    <w:pPr>
      <w:spacing w:before="120" w:after="120"/>
      <w:jc w:val="center"/>
    </w:pPr>
    <w:rPr>
      <w:rFonts w:cs="Arial"/>
    </w:rPr>
  </w:style>
  <w:style w:type="paragraph" w:styleId="14">
    <w:name w:val="Document Map"/>
    <w:basedOn w:val="1"/>
    <w:qFormat/>
    <w:uiPriority w:val="0"/>
    <w:rPr>
      <w:rFonts w:ascii="宋体"/>
      <w:sz w:val="18"/>
      <w:szCs w:val="18"/>
    </w:rPr>
  </w:style>
  <w:style w:type="paragraph" w:styleId="15">
    <w:name w:val="annotation text"/>
    <w:basedOn w:val="1"/>
    <w:qFormat/>
    <w:uiPriority w:val="0"/>
    <w:pPr>
      <w:spacing w:line="360" w:lineRule="auto"/>
      <w:ind w:firstLine="200" w:firstLineChars="200"/>
      <w:jc w:val="left"/>
    </w:pPr>
    <w:rPr>
      <w:sz w:val="24"/>
      <w:szCs w:val="24"/>
    </w:rPr>
  </w:style>
  <w:style w:type="paragraph" w:styleId="16">
    <w:name w:val="Body Text"/>
    <w:basedOn w:val="1"/>
    <w:next w:val="1"/>
    <w:qFormat/>
    <w:uiPriority w:val="0"/>
    <w:pPr>
      <w:spacing w:after="120"/>
    </w:pPr>
  </w:style>
  <w:style w:type="paragraph" w:styleId="17">
    <w:name w:val="Body Text Indent"/>
    <w:basedOn w:val="1"/>
    <w:next w:val="18"/>
    <w:qFormat/>
    <w:uiPriority w:val="0"/>
    <w:pPr>
      <w:spacing w:line="200" w:lineRule="exact"/>
      <w:ind w:firstLine="301"/>
    </w:pPr>
    <w:rPr>
      <w:rFonts w:ascii="宋体" w:hAnsi="Courier New"/>
      <w:spacing w:val="-4"/>
      <w:sz w:val="18"/>
    </w:rPr>
  </w:style>
  <w:style w:type="paragraph" w:styleId="18">
    <w:name w:val="envelope return"/>
    <w:basedOn w:val="1"/>
    <w:qFormat/>
    <w:uiPriority w:val="0"/>
    <w:pPr>
      <w:snapToGrid w:val="0"/>
    </w:pPr>
    <w:rPr>
      <w:rFonts w:ascii="Arial" w:hAnsi="Arial"/>
    </w:rPr>
  </w:style>
  <w:style w:type="paragraph" w:styleId="19">
    <w:name w:val="Block Text"/>
    <w:basedOn w:val="1"/>
    <w:next w:val="1"/>
    <w:unhideWhenUsed/>
    <w:qFormat/>
    <w:uiPriority w:val="99"/>
    <w:pPr>
      <w:spacing w:after="120"/>
      <w:ind w:left="1440" w:leftChars="700" w:right="1440" w:rightChars="700"/>
    </w:pPr>
  </w:style>
  <w:style w:type="paragraph" w:styleId="20">
    <w:name w:val="toc 3"/>
    <w:basedOn w:val="1"/>
    <w:next w:val="1"/>
    <w:qFormat/>
    <w:uiPriority w:val="0"/>
    <w:pPr>
      <w:ind w:left="420"/>
      <w:jc w:val="left"/>
    </w:pPr>
    <w:rPr>
      <w:i/>
      <w:iCs/>
      <w:sz w:val="20"/>
      <w:szCs w:val="20"/>
    </w:rPr>
  </w:style>
  <w:style w:type="paragraph" w:styleId="21">
    <w:name w:val="Plain Text"/>
    <w:basedOn w:val="1"/>
    <w:next w:val="1"/>
    <w:qFormat/>
    <w:uiPriority w:val="0"/>
    <w:rPr>
      <w:rFonts w:ascii="宋体" w:hAnsi="Courier New"/>
    </w:rPr>
  </w:style>
  <w:style w:type="paragraph" w:styleId="22">
    <w:name w:val="Date"/>
    <w:basedOn w:val="1"/>
    <w:next w:val="1"/>
    <w:qFormat/>
    <w:uiPriority w:val="0"/>
    <w:pPr>
      <w:ind w:left="100" w:leftChars="2500"/>
    </w:pPr>
  </w:style>
  <w:style w:type="paragraph" w:styleId="23">
    <w:name w:val="Body Text Indent 2"/>
    <w:basedOn w:val="1"/>
    <w:qFormat/>
    <w:uiPriority w:val="0"/>
    <w:pPr>
      <w:snapToGrid w:val="0"/>
      <w:spacing w:line="540" w:lineRule="atLeast"/>
      <w:ind w:firstLine="720"/>
    </w:pPr>
    <w:rPr>
      <w:sz w:val="28"/>
      <w:szCs w:val="28"/>
    </w:rPr>
  </w:style>
  <w:style w:type="paragraph" w:styleId="24">
    <w:name w:val="endnote text"/>
    <w:basedOn w:val="1"/>
    <w:semiHidden/>
    <w:unhideWhenUsed/>
    <w:qFormat/>
    <w:uiPriority w:val="99"/>
    <w:pPr>
      <w:snapToGrid w:val="0"/>
      <w:jc w:val="left"/>
    </w:pPr>
  </w:style>
  <w:style w:type="paragraph" w:styleId="25">
    <w:name w:val="Balloon Text"/>
    <w:basedOn w:val="1"/>
    <w:qFormat/>
    <w:uiPriority w:val="0"/>
    <w:rPr>
      <w:rFonts w:ascii="宋体" w:hAnsi="Courier New"/>
      <w:sz w:val="18"/>
      <w:szCs w:val="18"/>
    </w:rPr>
  </w:style>
  <w:style w:type="paragraph" w:styleId="26">
    <w:name w:val="footer"/>
    <w:basedOn w:val="1"/>
    <w:qFormat/>
    <w:uiPriority w:val="0"/>
    <w:pPr>
      <w:tabs>
        <w:tab w:val="center" w:pos="4153"/>
        <w:tab w:val="right" w:pos="8306"/>
      </w:tabs>
      <w:snapToGrid w:val="0"/>
      <w:jc w:val="left"/>
    </w:pPr>
    <w:rPr>
      <w:sz w:val="18"/>
    </w:rPr>
  </w:style>
  <w:style w:type="paragraph" w:styleId="27">
    <w:name w:val="header"/>
    <w:basedOn w:val="1"/>
    <w:qFormat/>
    <w:uiPriority w:val="0"/>
    <w:pPr>
      <w:pBdr>
        <w:bottom w:val="single" w:color="auto" w:sz="6" w:space="1"/>
      </w:pBdr>
      <w:tabs>
        <w:tab w:val="center" w:pos="4153"/>
        <w:tab w:val="right" w:pos="8306"/>
      </w:tabs>
      <w:snapToGrid w:val="0"/>
      <w:jc w:val="center"/>
    </w:pPr>
    <w:rPr>
      <w:sz w:val="18"/>
    </w:rPr>
  </w:style>
  <w:style w:type="paragraph" w:styleId="28">
    <w:name w:val="toc 1"/>
    <w:basedOn w:val="1"/>
    <w:next w:val="1"/>
    <w:qFormat/>
    <w:uiPriority w:val="0"/>
    <w:pPr>
      <w:spacing w:before="360"/>
    </w:pPr>
    <w:rPr>
      <w:rFonts w:ascii="Calibri Light" w:hAnsi="Calibri Light"/>
      <w:b/>
      <w:bCs/>
      <w:caps/>
      <w:sz w:val="24"/>
      <w:szCs w:val="24"/>
    </w:rPr>
  </w:style>
  <w:style w:type="paragraph" w:styleId="29">
    <w:name w:val="footnote text"/>
    <w:basedOn w:val="1"/>
    <w:semiHidden/>
    <w:unhideWhenUsed/>
    <w:qFormat/>
    <w:uiPriority w:val="99"/>
    <w:pPr>
      <w:snapToGrid w:val="0"/>
      <w:jc w:val="left"/>
    </w:pPr>
    <w:rPr>
      <w:sz w:val="18"/>
    </w:rPr>
  </w:style>
  <w:style w:type="paragraph" w:styleId="30">
    <w:name w:val="Body Text Indent 3"/>
    <w:basedOn w:val="1"/>
    <w:qFormat/>
    <w:uiPriority w:val="0"/>
    <w:pPr>
      <w:spacing w:line="400" w:lineRule="exact"/>
      <w:ind w:left="360"/>
    </w:pPr>
    <w:rPr>
      <w:sz w:val="24"/>
      <w:szCs w:val="24"/>
    </w:rPr>
  </w:style>
  <w:style w:type="paragraph" w:styleId="31">
    <w:name w:val="toc 2"/>
    <w:basedOn w:val="1"/>
    <w:next w:val="1"/>
    <w:unhideWhenUsed/>
    <w:qFormat/>
    <w:uiPriority w:val="39"/>
    <w:pPr>
      <w:ind w:left="420" w:leftChars="200"/>
    </w:pPr>
  </w:style>
  <w:style w:type="paragraph" w:styleId="32">
    <w:name w:val="Body Text 2"/>
    <w:basedOn w:val="1"/>
    <w:qFormat/>
    <w:uiPriority w:val="0"/>
    <w:rPr>
      <w:rFonts w:ascii="宋体" w:hAnsi="Courier New"/>
      <w:sz w:val="13"/>
    </w:rPr>
  </w:style>
  <w:style w:type="paragraph" w:styleId="3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34">
    <w:name w:val="Title"/>
    <w:basedOn w:val="1"/>
    <w:next w:val="1"/>
    <w:qFormat/>
    <w:uiPriority w:val="0"/>
    <w:pPr>
      <w:spacing w:before="240" w:after="60"/>
      <w:jc w:val="center"/>
      <w:outlineLvl w:val="0"/>
    </w:pPr>
    <w:rPr>
      <w:rFonts w:ascii="Calibri Light" w:hAnsi="Calibri Light"/>
      <w:b/>
      <w:bCs/>
      <w:sz w:val="32"/>
      <w:szCs w:val="32"/>
    </w:rPr>
  </w:style>
  <w:style w:type="paragraph" w:styleId="35">
    <w:name w:val="annotation subject"/>
    <w:basedOn w:val="15"/>
    <w:next w:val="15"/>
    <w:qFormat/>
    <w:uiPriority w:val="0"/>
    <w:pPr>
      <w:spacing w:line="240" w:lineRule="auto"/>
      <w:ind w:firstLine="0" w:firstLineChars="0"/>
    </w:pPr>
    <w:rPr>
      <w:rFonts w:ascii="宋体" w:hAnsi="Courier New"/>
      <w:b/>
      <w:bCs/>
      <w:sz w:val="21"/>
      <w:szCs w:val="20"/>
    </w:rPr>
  </w:style>
  <w:style w:type="paragraph" w:styleId="36">
    <w:name w:val="Body Text First Indent 2"/>
    <w:basedOn w:val="17"/>
    <w:next w:val="19"/>
    <w:unhideWhenUsed/>
    <w:qFormat/>
    <w:uiPriority w:val="0"/>
    <w:pPr>
      <w:spacing w:line="360" w:lineRule="auto"/>
      <w:ind w:firstLine="420" w:firstLineChars="200"/>
    </w:pPr>
    <w:rPr>
      <w:sz w:val="24"/>
      <w:szCs w:val="24"/>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0">
    <w:name w:val="endnote reference"/>
    <w:basedOn w:val="39"/>
    <w:semiHidden/>
    <w:unhideWhenUsed/>
    <w:qFormat/>
    <w:uiPriority w:val="99"/>
    <w:rPr>
      <w:vertAlign w:val="superscript"/>
    </w:rPr>
  </w:style>
  <w:style w:type="character" w:styleId="41">
    <w:name w:val="page number"/>
    <w:basedOn w:val="39"/>
    <w:qFormat/>
    <w:uiPriority w:val="0"/>
  </w:style>
  <w:style w:type="character" w:styleId="42">
    <w:name w:val="footnote reference"/>
    <w:basedOn w:val="39"/>
    <w:semiHidden/>
    <w:unhideWhenUsed/>
    <w:qFormat/>
    <w:uiPriority w:val="99"/>
    <w:rPr>
      <w:vertAlign w:val="superscript"/>
    </w:rPr>
  </w:style>
  <w:style w:type="paragraph" w:customStyle="1" w:styleId="43">
    <w:name w:val="Default"/>
    <w:next w:val="12"/>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4">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5">
    <w:name w:val="建议书"/>
    <w:basedOn w:val="36"/>
    <w:qFormat/>
    <w:uiPriority w:val="0"/>
    <w:pPr>
      <w:spacing w:before="100" w:beforeAutospacing="1" w:after="100" w:afterAutospacing="1"/>
      <w:ind w:firstLine="480"/>
    </w:pPr>
    <w:rPr>
      <w:rFonts w:ascii="Times New Roman" w:hAnsi="Times New Roman"/>
    </w:rPr>
  </w:style>
  <w:style w:type="paragraph" w:customStyle="1" w:styleId="46">
    <w:name w:val="标书标题 3 Char"/>
    <w:basedOn w:val="1"/>
    <w:qFormat/>
    <w:uiPriority w:val="0"/>
    <w:pPr>
      <w:tabs>
        <w:tab w:val="left" w:pos="720"/>
      </w:tabs>
      <w:spacing w:line="360" w:lineRule="auto"/>
      <w:ind w:left="720" w:hanging="720"/>
      <w:outlineLvl w:val="2"/>
    </w:pPr>
    <w:rPr>
      <w:rFonts w:ascii="Arial" w:hAnsi="Arial"/>
      <w:bCs/>
      <w:sz w:val="24"/>
      <w:szCs w:val="32"/>
    </w:rPr>
  </w:style>
  <w:style w:type="paragraph" w:customStyle="1" w:styleId="47">
    <w:name w:val="三级标题"/>
    <w:basedOn w:val="1"/>
    <w:qFormat/>
    <w:uiPriority w:val="0"/>
    <w:pPr>
      <w:tabs>
        <w:tab w:val="left" w:pos="709"/>
      </w:tabs>
      <w:adjustRightInd w:val="0"/>
      <w:snapToGrid w:val="0"/>
      <w:spacing w:before="312" w:beforeLines="100" w:after="40" w:line="360" w:lineRule="auto"/>
      <w:ind w:left="709" w:hanging="709"/>
      <w:outlineLvl w:val="2"/>
    </w:pPr>
    <w:rPr>
      <w:rFonts w:eastAsia="黑体"/>
      <w:b/>
      <w:sz w:val="28"/>
    </w:rPr>
  </w:style>
  <w:style w:type="paragraph" w:customStyle="1" w:styleId="48">
    <w:name w:val="文档正文"/>
    <w:basedOn w:val="1"/>
    <w:qFormat/>
    <w:uiPriority w:val="0"/>
    <w:pPr>
      <w:adjustRightInd w:val="0"/>
      <w:spacing w:before="60" w:after="60" w:line="360" w:lineRule="atLeast"/>
      <w:ind w:firstLine="482"/>
      <w:textAlignment w:val="baseline"/>
    </w:pPr>
    <w:rPr>
      <w:sz w:val="24"/>
    </w:rPr>
  </w:style>
  <w:style w:type="paragraph" w:customStyle="1" w:styleId="49">
    <w:name w:val="表中文字"/>
    <w:basedOn w:val="1"/>
    <w:qFormat/>
    <w:uiPriority w:val="0"/>
    <w:pPr>
      <w:spacing w:line="360" w:lineRule="auto"/>
    </w:pPr>
    <w:rPr>
      <w:bCs/>
      <w:szCs w:val="24"/>
    </w:rPr>
  </w:style>
  <w:style w:type="paragraph" w:customStyle="1" w:styleId="50">
    <w:name w:val="List Paragraph1"/>
    <w:basedOn w:val="1"/>
    <w:qFormat/>
    <w:uiPriority w:val="34"/>
    <w:pPr>
      <w:ind w:firstLine="420" w:firstLineChars="200"/>
    </w:pPr>
  </w:style>
  <w:style w:type="paragraph" w:customStyle="1" w:styleId="51">
    <w:name w:val="Char2"/>
    <w:basedOn w:val="1"/>
    <w:qFormat/>
    <w:uiPriority w:val="0"/>
    <w:pPr>
      <w:widowControl/>
      <w:spacing w:line="400" w:lineRule="exact"/>
      <w:jc w:val="center"/>
    </w:pPr>
  </w:style>
  <w:style w:type="paragraph" w:customStyle="1" w:styleId="52">
    <w:name w:val="带数字排列文字项"/>
    <w:basedOn w:val="1"/>
    <w:qFormat/>
    <w:uiPriority w:val="0"/>
    <w:pPr>
      <w:tabs>
        <w:tab w:val="left" w:pos="480"/>
        <w:tab w:val="left" w:pos="840"/>
      </w:tabs>
      <w:spacing w:line="360" w:lineRule="auto"/>
      <w:ind w:left="840" w:hanging="360"/>
    </w:pPr>
    <w:rPr>
      <w:rFonts w:ascii="宋体" w:hAnsi="宋体"/>
      <w:sz w:val="24"/>
      <w:szCs w:val="24"/>
    </w:rPr>
  </w:style>
  <w:style w:type="paragraph" w:customStyle="1" w:styleId="53">
    <w:name w:val="样式 宋体 小四 行距: 1.5 倍行距1 Char"/>
    <w:basedOn w:val="1"/>
    <w:qFormat/>
    <w:uiPriority w:val="0"/>
    <w:pPr>
      <w:spacing w:line="360" w:lineRule="auto"/>
      <w:ind w:firstLine="540" w:firstLineChars="225"/>
    </w:pPr>
    <w:rPr>
      <w:rFonts w:ascii="宋体" w:hAnsi="宋体"/>
      <w:sz w:val="24"/>
      <w:szCs w:val="24"/>
    </w:rPr>
  </w:style>
  <w:style w:type="paragraph" w:customStyle="1" w:styleId="54">
    <w:name w:val="排列文字项"/>
    <w:basedOn w:val="1"/>
    <w:qFormat/>
    <w:uiPriority w:val="0"/>
    <w:pPr>
      <w:tabs>
        <w:tab w:val="left" w:pos="480"/>
        <w:tab w:val="left" w:pos="1800"/>
      </w:tabs>
      <w:spacing w:line="360" w:lineRule="auto"/>
      <w:ind w:left="1800" w:hanging="420"/>
    </w:pPr>
    <w:rPr>
      <w:sz w:val="24"/>
      <w:szCs w:val="24"/>
    </w:rPr>
  </w:style>
  <w:style w:type="paragraph" w:customStyle="1" w:styleId="55">
    <w:name w:val="_Style 29"/>
    <w:basedOn w:val="1"/>
    <w:qFormat/>
    <w:uiPriority w:val="0"/>
    <w:pPr>
      <w:tabs>
        <w:tab w:val="left" w:pos="360"/>
      </w:tabs>
    </w:pPr>
  </w:style>
  <w:style w:type="paragraph" w:customStyle="1" w:styleId="56">
    <w:name w:val="para"/>
    <w:basedOn w:val="1"/>
    <w:qFormat/>
    <w:uiPriority w:val="0"/>
    <w:pPr>
      <w:widowControl/>
      <w:adjustRightInd w:val="0"/>
      <w:spacing w:before="160" w:line="360" w:lineRule="auto"/>
      <w:ind w:firstLine="425"/>
      <w:textAlignment w:val="baseline"/>
    </w:pPr>
    <w:rPr>
      <w:rFonts w:ascii="宋体" w:hAnsi="Courier New"/>
      <w:kern w:val="0"/>
      <w:sz w:val="24"/>
      <w:lang w:eastAsia="en-US"/>
    </w:rPr>
  </w:style>
  <w:style w:type="paragraph" w:customStyle="1" w:styleId="57">
    <w:name w:val="纯文本1"/>
    <w:qFormat/>
    <w:uiPriority w:val="0"/>
    <w:rPr>
      <w:rFonts w:ascii="宋体" w:hAnsi="Courier New" w:eastAsia="宋体" w:cs="Courier New"/>
      <w:kern w:val="2"/>
      <w:sz w:val="21"/>
      <w:szCs w:val="21"/>
      <w:lang w:val="en-US" w:eastAsia="zh-CN" w:bidi="ar-SA"/>
    </w:rPr>
  </w:style>
  <w:style w:type="paragraph" w:customStyle="1" w:styleId="58">
    <w:name w:val="样式 小四 行距: 1.5 倍行距 首行缩进:  2 字符"/>
    <w:basedOn w:val="1"/>
    <w:qFormat/>
    <w:uiPriority w:val="0"/>
    <w:pPr>
      <w:spacing w:after="200" w:line="360" w:lineRule="auto"/>
      <w:ind w:firstLine="480" w:firstLineChars="200"/>
    </w:pPr>
    <w:rPr>
      <w:sz w:val="24"/>
    </w:rPr>
  </w:style>
  <w:style w:type="paragraph" w:customStyle="1" w:styleId="59">
    <w:name w:val="一级标题"/>
    <w:basedOn w:val="1"/>
    <w:qFormat/>
    <w:uiPriority w:val="0"/>
    <w:pPr>
      <w:tabs>
        <w:tab w:val="left" w:pos="425"/>
      </w:tabs>
      <w:adjustRightInd w:val="0"/>
      <w:snapToGrid w:val="0"/>
      <w:spacing w:before="468" w:beforeLines="150" w:after="40" w:line="480" w:lineRule="auto"/>
      <w:ind w:left="425" w:hanging="425"/>
      <w:outlineLvl w:val="0"/>
    </w:pPr>
    <w:rPr>
      <w:rFonts w:eastAsia="黑体"/>
      <w:b/>
      <w:sz w:val="32"/>
    </w:rPr>
  </w:style>
  <w:style w:type="paragraph" w:styleId="60">
    <w:name w:val="List Paragraph"/>
    <w:basedOn w:val="1"/>
    <w:qFormat/>
    <w:uiPriority w:val="0"/>
    <w:pPr>
      <w:widowControl/>
      <w:ind w:firstLine="420" w:firstLineChars="200"/>
      <w:jc w:val="left"/>
    </w:pPr>
    <w:rPr>
      <w:rFonts w:ascii="宋体" w:hAnsi="宋体"/>
      <w:kern w:val="0"/>
      <w:sz w:val="24"/>
      <w:szCs w:val="24"/>
    </w:rPr>
  </w:style>
  <w:style w:type="paragraph" w:customStyle="1" w:styleId="61">
    <w:name w:val="图表中文字（5号）"/>
    <w:basedOn w:val="1"/>
    <w:qFormat/>
    <w:uiPriority w:val="0"/>
    <w:rPr>
      <w:szCs w:val="24"/>
    </w:rPr>
  </w:style>
  <w:style w:type="paragraph" w:customStyle="1" w:styleId="62">
    <w:name w:val="二级标题"/>
    <w:basedOn w:val="1"/>
    <w:qFormat/>
    <w:uiPriority w:val="0"/>
    <w:pPr>
      <w:tabs>
        <w:tab w:val="left" w:pos="567"/>
      </w:tabs>
      <w:adjustRightInd w:val="0"/>
      <w:snapToGrid w:val="0"/>
      <w:spacing w:before="312" w:beforeLines="100" w:after="40" w:line="480" w:lineRule="auto"/>
      <w:ind w:left="567" w:hanging="567"/>
      <w:outlineLvl w:val="1"/>
    </w:pPr>
    <w:rPr>
      <w:rFonts w:eastAsia="黑体"/>
      <w:b/>
      <w:sz w:val="28"/>
    </w:rPr>
  </w:style>
  <w:style w:type="paragraph" w:customStyle="1" w:styleId="63">
    <w:name w:val="text"/>
    <w:basedOn w:val="1"/>
    <w:qFormat/>
    <w:uiPriority w:val="0"/>
    <w:pPr>
      <w:overflowPunct w:val="0"/>
      <w:autoSpaceDE w:val="0"/>
      <w:autoSpaceDN w:val="0"/>
      <w:adjustRightInd w:val="0"/>
      <w:spacing w:before="120" w:after="120"/>
      <w:ind w:left="864"/>
      <w:textAlignment w:val="baseline"/>
    </w:pPr>
    <w:rPr>
      <w:rFonts w:ascii="宋体"/>
      <w:spacing w:val="-14"/>
      <w:kern w:val="0"/>
      <w:sz w:val="24"/>
      <w:szCs w:val="24"/>
    </w:rPr>
  </w:style>
  <w:style w:type="paragraph" w:customStyle="1" w:styleId="64">
    <w:name w:val="MY样式(加标题)"/>
    <w:basedOn w:val="1"/>
    <w:qFormat/>
    <w:uiPriority w:val="0"/>
    <w:pPr>
      <w:numPr>
        <w:ilvl w:val="0"/>
        <w:numId w:val="4"/>
      </w:numPr>
      <w:spacing w:line="360" w:lineRule="auto"/>
      <w:ind w:firstLine="200" w:firstLineChars="200"/>
    </w:pPr>
    <w:rPr>
      <w:rFonts w:hint="eastAsia" w:ascii="宋体"/>
      <w:sz w:val="24"/>
      <w:szCs w:val="24"/>
    </w:rPr>
  </w:style>
  <w:style w:type="paragraph" w:customStyle="1" w:styleId="65">
    <w:name w:val="四级标题"/>
    <w:basedOn w:val="1"/>
    <w:qFormat/>
    <w:uiPriority w:val="0"/>
    <w:pPr>
      <w:tabs>
        <w:tab w:val="left" w:pos="851"/>
      </w:tabs>
      <w:adjustRightInd w:val="0"/>
      <w:snapToGrid w:val="0"/>
      <w:spacing w:before="156" w:beforeLines="50" w:after="40" w:line="360" w:lineRule="auto"/>
      <w:ind w:left="851" w:hanging="851"/>
      <w:outlineLvl w:val="3"/>
    </w:pPr>
    <w:rPr>
      <w:rFonts w:eastAsia="黑体"/>
      <w:b/>
      <w:sz w:val="24"/>
    </w:rPr>
  </w:style>
  <w:style w:type="paragraph" w:customStyle="1" w:styleId="66">
    <w:name w:val="图表中文字（小5号）"/>
    <w:basedOn w:val="61"/>
    <w:qFormat/>
    <w:uiPriority w:val="0"/>
    <w:rPr>
      <w:sz w:val="18"/>
    </w:rPr>
  </w:style>
  <w:style w:type="paragraph" w:customStyle="1" w:styleId="67">
    <w:name w:val="样式6 列表并列"/>
    <w:qFormat/>
    <w:uiPriority w:val="0"/>
    <w:pPr>
      <w:widowControl w:val="0"/>
      <w:numPr>
        <w:ilvl w:val="0"/>
        <w:numId w:val="5"/>
      </w:numPr>
      <w:spacing w:before="40" w:after="40" w:line="240" w:lineRule="atLeast"/>
      <w:ind w:left="840" w:hanging="420"/>
      <w:textAlignment w:val="center"/>
    </w:pPr>
    <w:rPr>
      <w:rFonts w:ascii="Arial" w:hAnsi="Arial" w:eastAsia="宋体" w:cs="Times New Roman"/>
      <w:kern w:val="21"/>
      <w:sz w:val="21"/>
      <w:szCs w:val="24"/>
      <w:lang w:val="en-US" w:eastAsia="zh-CN" w:bidi="ar-SA"/>
    </w:rPr>
  </w:style>
  <w:style w:type="character" w:customStyle="1" w:styleId="68">
    <w:name w:val="标题 11"/>
    <w:qFormat/>
    <w:uiPriority w:val="0"/>
    <w:rPr>
      <w:rFonts w:ascii="宋体" w:hAnsi="Courier New" w:eastAsia="黑体"/>
      <w:b/>
      <w:kern w:val="44"/>
      <w:sz w:val="28"/>
      <w:lang w:val="en-US" w:eastAsia="zh-CN" w:bidi="ar-SA"/>
    </w:rPr>
  </w:style>
  <w:style w:type="character" w:customStyle="1" w:styleId="69">
    <w:name w:val="font71"/>
    <w:qFormat/>
    <w:uiPriority w:val="0"/>
    <w:rPr>
      <w:rFonts w:hint="eastAsia" w:ascii="宋体" w:hAnsi="宋体" w:eastAsia="宋体" w:cs="宋体"/>
      <w:color w:val="000000"/>
      <w:sz w:val="20"/>
      <w:szCs w:val="20"/>
    </w:rPr>
  </w:style>
  <w:style w:type="character" w:customStyle="1" w:styleId="70">
    <w:name w:val="标题 1 Char Char"/>
    <w:qFormat/>
    <w:uiPriority w:val="0"/>
    <w:rPr>
      <w:rFonts w:eastAsia="宋体"/>
      <w:b/>
      <w:spacing w:val="-2"/>
      <w:sz w:val="24"/>
      <w:lang w:val="en-US" w:eastAsia="zh-CN" w:bidi="ar-SA"/>
    </w:rPr>
  </w:style>
  <w:style w:type="character" w:customStyle="1" w:styleId="71">
    <w:name w:val="font91"/>
    <w:qFormat/>
    <w:uiPriority w:val="0"/>
    <w:rPr>
      <w:rFonts w:ascii="BatangChe" w:hAnsi="BatangChe" w:eastAsia="BatangChe" w:cs="BatangChe"/>
      <w:color w:val="000000"/>
      <w:sz w:val="20"/>
      <w:szCs w:val="20"/>
      <w:u w:val="none"/>
    </w:rPr>
  </w:style>
  <w:style w:type="character" w:customStyle="1" w:styleId="72">
    <w:name w:val="题注 Char"/>
    <w:qFormat/>
    <w:uiPriority w:val="0"/>
    <w:rPr>
      <w:rFonts w:eastAsia="宋体" w:cs="Arial"/>
      <w:kern w:val="2"/>
      <w:sz w:val="21"/>
      <w:lang w:val="en-US" w:eastAsia="zh-CN" w:bidi="ar-SA"/>
    </w:rPr>
  </w:style>
  <w:style w:type="character" w:customStyle="1" w:styleId="73">
    <w:name w:val="font61"/>
    <w:qFormat/>
    <w:uiPriority w:val="0"/>
    <w:rPr>
      <w:rFonts w:hint="eastAsia" w:ascii="宋体" w:hAnsi="宋体" w:eastAsia="宋体" w:cs="宋体"/>
      <w:color w:val="000000"/>
      <w:sz w:val="20"/>
      <w:szCs w:val="20"/>
    </w:rPr>
  </w:style>
  <w:style w:type="character" w:customStyle="1" w:styleId="74">
    <w:name w:val="font31"/>
    <w:qFormat/>
    <w:uiPriority w:val="0"/>
    <w:rPr>
      <w:rFonts w:hint="eastAsia" w:ascii="宋体" w:hAnsi="宋体" w:eastAsia="宋体" w:cs="宋体"/>
      <w:color w:val="000000"/>
      <w:sz w:val="20"/>
      <w:szCs w:val="20"/>
      <w:u w:val="none"/>
      <w:vertAlign w:val="superscript"/>
    </w:rPr>
  </w:style>
  <w:style w:type="character" w:customStyle="1" w:styleId="75">
    <w:name w:val="font21"/>
    <w:qFormat/>
    <w:uiPriority w:val="0"/>
    <w:rPr>
      <w:rFonts w:hint="eastAsia" w:ascii="宋体" w:hAnsi="宋体" w:eastAsia="宋体" w:cs="宋体"/>
      <w:color w:val="FF0000"/>
      <w:sz w:val="20"/>
      <w:szCs w:val="20"/>
      <w:u w:val="none"/>
    </w:rPr>
  </w:style>
  <w:style w:type="character" w:customStyle="1" w:styleId="76">
    <w:name w:val="font11"/>
    <w:qFormat/>
    <w:uiPriority w:val="0"/>
    <w:rPr>
      <w:rFonts w:hint="eastAsia" w:ascii="宋体" w:hAnsi="宋体" w:eastAsia="宋体" w:cs="宋体"/>
      <w:color w:val="000000"/>
      <w:sz w:val="20"/>
      <w:szCs w:val="20"/>
    </w:rPr>
  </w:style>
  <w:style w:type="character" w:customStyle="1" w:styleId="77">
    <w:name w:val="页码1"/>
    <w:basedOn w:val="39"/>
    <w:qFormat/>
    <w:uiPriority w:val="0"/>
  </w:style>
  <w:style w:type="character" w:customStyle="1" w:styleId="78">
    <w:name w:val="font01"/>
    <w:qFormat/>
    <w:uiPriority w:val="0"/>
    <w:rPr>
      <w:rFonts w:hint="eastAsia" w:ascii="宋体" w:hAnsi="宋体" w:eastAsia="宋体" w:cs="宋体"/>
      <w:color w:val="000000"/>
      <w:sz w:val="20"/>
      <w:szCs w:val="20"/>
    </w:rPr>
  </w:style>
  <w:style w:type="character" w:customStyle="1" w:styleId="79">
    <w:name w:val="font51"/>
    <w:qFormat/>
    <w:uiPriority w:val="0"/>
    <w:rPr>
      <w:rFonts w:hint="eastAsia" w:ascii="宋体" w:hAnsi="宋体" w:eastAsia="宋体" w:cs="宋体"/>
      <w:color w:val="000000"/>
      <w:sz w:val="18"/>
      <w:szCs w:val="18"/>
      <w:u w:val="none"/>
    </w:rPr>
  </w:style>
  <w:style w:type="paragraph" w:customStyle="1" w:styleId="80">
    <w:name w:val="MM Topic 2"/>
    <w:basedOn w:val="4"/>
    <w:qFormat/>
    <w:uiPriority w:val="0"/>
    <w:pPr>
      <w:keepLines/>
      <w:tabs>
        <w:tab w:val="left" w:pos="720"/>
        <w:tab w:val="left" w:pos="1470"/>
        <w:tab w:val="left" w:pos="2400"/>
      </w:tabs>
      <w:adjustRightInd/>
      <w:spacing w:before="260" w:beforeLines="50" w:after="260" w:afterLines="50" w:line="240" w:lineRule="auto"/>
      <w:ind w:left="1470" w:hanging="1470"/>
      <w:jc w:val="left"/>
      <w:textAlignment w:val="auto"/>
    </w:pPr>
    <w:rPr>
      <w:rFonts w:ascii="Arial" w:hAnsi="Arial" w:eastAsia="宋体"/>
      <w:caps/>
      <w:snapToGrid w:val="0"/>
      <w:sz w:val="30"/>
      <w:szCs w:val="32"/>
    </w:rPr>
  </w:style>
  <w:style w:type="paragraph" w:customStyle="1" w:styleId="81">
    <w:name w:val="样式 标题 2 + Times New Roman 四号 非加粗 段前: 5 磅 段后: 0 磅 行距: 固定值 20..."/>
    <w:basedOn w:val="4"/>
    <w:qFormat/>
    <w:uiPriority w:val="0"/>
    <w:pPr>
      <w:spacing w:before="100" w:line="400" w:lineRule="exact"/>
    </w:pPr>
    <w:rPr>
      <w:rFonts w:ascii="Times New Roman" w:hAnsi="Times New Roman" w:cs="宋体"/>
      <w:b w:val="0"/>
    </w:rPr>
  </w:style>
  <w:style w:type="paragraph" w:customStyle="1" w:styleId="82">
    <w:name w:val="00.建设方案正文字体"/>
    <w:basedOn w:val="1"/>
    <w:qFormat/>
    <w:uiPriority w:val="0"/>
    <w:rPr>
      <w:szCs w:val="28"/>
    </w:rPr>
  </w:style>
  <w:style w:type="paragraph" w:customStyle="1" w:styleId="83">
    <w:name w:val="GS-1"/>
    <w:basedOn w:val="3"/>
    <w:next w:val="1"/>
    <w:qFormat/>
    <w:uiPriority w:val="0"/>
    <w:pPr>
      <w:snapToGrid w:val="0"/>
      <w:spacing w:before="100" w:after="100"/>
    </w:pPr>
    <w:rPr>
      <w:rFonts w:asciiTheme="minorHAnsi" w:hAnsiTheme="minorHAnsi" w:eastAsiaTheme="majorEastAsia" w:cstheme="minorBidi"/>
      <w:sz w:val="32"/>
    </w:rPr>
  </w:style>
  <w:style w:type="paragraph" w:customStyle="1" w:styleId="84">
    <w:name w:val="GS-2"/>
    <w:basedOn w:val="4"/>
    <w:next w:val="1"/>
    <w:qFormat/>
    <w:uiPriority w:val="0"/>
    <w:pPr>
      <w:snapToGrid w:val="0"/>
      <w:spacing w:before="100" w:after="100"/>
    </w:pPr>
    <w:rPr>
      <w:rFonts w:asciiTheme="majorHAnsi" w:hAnsiTheme="majorHAnsi" w:eastAsiaTheme="majorEastAsia" w:cstheme="majorBidi"/>
      <w:sz w:val="30"/>
    </w:rPr>
  </w:style>
  <w:style w:type="paragraph" w:customStyle="1" w:styleId="85">
    <w:name w:val="GS-3"/>
    <w:basedOn w:val="5"/>
    <w:next w:val="1"/>
    <w:qFormat/>
    <w:uiPriority w:val="0"/>
    <w:pPr>
      <w:numPr>
        <w:ilvl w:val="0"/>
        <w:numId w:val="6"/>
      </w:numPr>
      <w:snapToGrid w:val="0"/>
      <w:spacing w:before="100" w:after="100"/>
    </w:pPr>
    <w:rPr>
      <w:rFonts w:asciiTheme="minorHAnsi" w:hAnsiTheme="minorHAnsi" w:eastAsiaTheme="minorEastAsia" w:cstheme="minorBidi"/>
      <w:sz w:val="24"/>
    </w:rPr>
  </w:style>
  <w:style w:type="paragraph" w:customStyle="1" w:styleId="86">
    <w:name w:val="GS-4"/>
    <w:basedOn w:val="6"/>
    <w:next w:val="1"/>
    <w:qFormat/>
    <w:uiPriority w:val="0"/>
    <w:pPr>
      <w:keepNext/>
      <w:keepLines/>
      <w:numPr>
        <w:numId w:val="6"/>
      </w:numPr>
      <w:adjustRightInd/>
      <w:snapToGrid w:val="0"/>
      <w:spacing w:before="100" w:after="100"/>
    </w:pPr>
    <w:rPr>
      <w:rFonts w:asciiTheme="majorHAnsi" w:hAnsiTheme="majorHAnsi" w:eastAsiaTheme="majorEastAsia" w:cstheme="majorBidi"/>
      <w:bCs/>
      <w:kern w:val="2"/>
      <w:sz w:val="24"/>
    </w:rPr>
  </w:style>
  <w:style w:type="paragraph" w:customStyle="1" w:styleId="87">
    <w:name w:val="*正文"/>
    <w:basedOn w:val="1"/>
    <w:qFormat/>
    <w:uiPriority w:val="0"/>
    <w:pPr>
      <w:spacing w:line="360" w:lineRule="auto"/>
      <w:ind w:firstLine="200" w:firstLineChars="200"/>
    </w:pPr>
    <w:rPr>
      <w:rFonts w:ascii="宋体" w:hAnsi="宋体" w:eastAsia="仿宋" w:cstheme="minorBidi"/>
      <w:sz w:val="28"/>
      <w:szCs w:val="21"/>
    </w:rPr>
  </w:style>
  <w:style w:type="paragraph" w:customStyle="1" w:styleId="88">
    <w:name w:val="大纲正文"/>
    <w:basedOn w:val="1"/>
    <w:qFormat/>
    <w:uiPriority w:val="0"/>
    <w:pPr>
      <w:spacing w:line="360" w:lineRule="auto"/>
      <w:ind w:firstLine="480" w:firstLineChars="200"/>
    </w:pPr>
    <w:rPr>
      <w:rFonts w:cs="宋体"/>
      <w:sz w:val="24"/>
    </w:rPr>
  </w:style>
  <w:style w:type="paragraph" w:customStyle="1" w:styleId="89">
    <w:name w:val="正文模版"/>
    <w:basedOn w:val="1"/>
    <w:qFormat/>
    <w:uiPriority w:val="0"/>
    <w:pPr>
      <w:spacing w:line="360" w:lineRule="auto"/>
      <w:ind w:firstLine="480" w:firstLineChars="200"/>
    </w:pPr>
    <w:rPr>
      <w:rFonts w:cs="宋体"/>
      <w:sz w:val="24"/>
    </w:rPr>
  </w:style>
  <w:style w:type="paragraph" w:customStyle="1" w:styleId="90">
    <w:name w:val="标准正文"/>
    <w:basedOn w:val="17"/>
    <w:qFormat/>
    <w:uiPriority w:val="0"/>
    <w:pPr>
      <w:spacing w:before="60" w:after="60" w:line="360" w:lineRule="auto"/>
      <w:ind w:firstLine="482"/>
    </w:pPr>
    <w:rPr>
      <w:sz w:val="24"/>
    </w:rPr>
  </w:style>
  <w:style w:type="paragraph" w:customStyle="1" w:styleId="91">
    <w:name w:val="_Style 1"/>
    <w:basedOn w:val="1"/>
    <w:qFormat/>
    <w:uiPriority w:val="34"/>
    <w:pPr>
      <w:ind w:firstLine="420" w:firstLineChars="200"/>
    </w:pPr>
    <w:rPr>
      <w:rFonts w:ascii="等线" w:hAnsi="等线" w:eastAsia="等线"/>
      <w:szCs w:val="22"/>
    </w:rPr>
  </w:style>
  <w:style w:type="paragraph" w:customStyle="1" w:styleId="92">
    <w:name w:val="表格文字"/>
    <w:basedOn w:val="1"/>
    <w:qFormat/>
    <w:uiPriority w:val="0"/>
    <w:pPr>
      <w:spacing w:before="25" w:after="25"/>
      <w:jc w:val="left"/>
    </w:pPr>
    <w:rPr>
      <w:rFonts w:ascii="Times New Roman" w:hAnsi="Times New Roman"/>
      <w:bCs/>
      <w:spacing w:val="10"/>
    </w:rPr>
  </w:style>
  <w:style w:type="paragraph" w:customStyle="1" w:styleId="93">
    <w:name w:val="正文 New New New New New New New"/>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4">
    <w:name w:val="Other|1"/>
    <w:basedOn w:val="1"/>
    <w:qFormat/>
    <w:uiPriority w:val="0"/>
    <w:pPr>
      <w:spacing w:line="410" w:lineRule="auto"/>
      <w:ind w:firstLine="400"/>
    </w:pPr>
    <w:rPr>
      <w:rFonts w:ascii="宋体" w:hAnsi="宋体" w:eastAsia="宋体" w:cs="宋体"/>
      <w:lang w:val="zh-TW" w:eastAsia="zh-TW" w:bidi="zh-TW"/>
    </w:rPr>
  </w:style>
  <w:style w:type="paragraph" w:customStyle="1" w:styleId="95">
    <w:name w:val="Body Text First Indent 2"/>
    <w:basedOn w:val="96"/>
    <w:qFormat/>
    <w:uiPriority w:val="0"/>
    <w:pPr>
      <w:spacing w:after="120" w:afterLines="0"/>
      <w:ind w:firstLine="420" w:firstLineChars="200"/>
    </w:pPr>
  </w:style>
  <w:style w:type="paragraph" w:customStyle="1" w:styleId="96">
    <w:name w:val="Body Text Indent1"/>
    <w:basedOn w:val="1"/>
    <w:next w:val="95"/>
    <w:qFormat/>
    <w:uiPriority w:val="0"/>
    <w:pPr>
      <w:ind w:firstLine="200" w:firstLineChars="200"/>
      <w:jc w:val="left"/>
    </w:pPr>
    <w:rPr>
      <w:rFonts w:ascii="仿宋_GB2312" w:eastAsia="仿宋_GB2312"/>
      <w:sz w:val="28"/>
    </w:rPr>
  </w:style>
  <w:style w:type="paragraph" w:customStyle="1" w:styleId="97">
    <w:name w:val="p0"/>
    <w:basedOn w:val="1"/>
    <w:qFormat/>
    <w:uiPriority w:val="0"/>
    <w:pPr>
      <w:widowControl/>
    </w:pPr>
    <w:rPr>
      <w:rFonts w:ascii="Calibri" w:hAnsi="Calibri"/>
      <w:kern w:val="0"/>
      <w:szCs w:val="21"/>
    </w:rPr>
  </w:style>
  <w:style w:type="paragraph" w:customStyle="1" w:styleId="98">
    <w:name w:val="Normal Indent1"/>
    <w:basedOn w:val="1"/>
    <w:qFormat/>
    <w:uiPriority w:val="0"/>
    <w:pPr>
      <w:ind w:firstLine="420" w:firstLineChars="200"/>
    </w:pPr>
    <w:rPr>
      <w:rFonts w:ascii="Calibri" w:hAnsi="Calibri" w:eastAsia="宋体"/>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endnotes" Target="end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18257</Words>
  <Characters>18719</Characters>
  <Lines>357</Lines>
  <Paragraphs>100</Paragraphs>
  <TotalTime>48</TotalTime>
  <ScaleCrop>false</ScaleCrop>
  <LinksUpToDate>false</LinksUpToDate>
  <CharactersWithSpaces>25667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2021-05-09T20:06:00Z</dcterms:created>
  <dc:creator>hhyy</dc:creator>
  <cp:lastModifiedBy>丁怡涵</cp:lastModifiedBy>
  <cp:lastPrinted>2023-03-10T11:07:00Z</cp:lastPrinted>
  <dcterms:modified xsi:type="dcterms:W3CDTF">2024-11-28T02:43:23Z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6E09B75C7BCD4A9D82666C7C3D365C22</vt:lpwstr>
  </property>
  <property fmtid="{D5CDD505-2E9C-101B-9397-08002B2CF9AE}" pid="4" name="KSOSaveFontToCloudKey">
    <vt:lpwstr>0_btnclosed</vt:lpwstr>
  </property>
</Properties>
</file>