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A545E7">
      <w:pPr>
        <w:pStyle w:val="21"/>
        <w:jc w:val="center"/>
        <w:rPr>
          <w:rFonts w:hint="default" w:ascii="仿宋" w:hAnsi="仿宋" w:eastAsia="仿宋" w:cs="仿宋"/>
          <w:b/>
          <w:sz w:val="72"/>
          <w:szCs w:val="72"/>
          <w:lang w:val="en-US" w:eastAsia="zh-CN"/>
        </w:rPr>
      </w:pPr>
      <w:r>
        <w:rPr>
          <w:rFonts w:hint="eastAsia" w:ascii="仿宋" w:hAnsi="仿宋" w:eastAsia="仿宋" w:cs="仿宋"/>
          <w:b/>
          <w:sz w:val="72"/>
          <w:szCs w:val="72"/>
        </w:rPr>
        <w:t>曲靖市</w:t>
      </w:r>
      <w:r>
        <w:rPr>
          <w:rFonts w:hint="eastAsia" w:ascii="仿宋" w:hAnsi="仿宋" w:eastAsia="仿宋" w:cs="仿宋"/>
          <w:b/>
          <w:sz w:val="72"/>
          <w:szCs w:val="72"/>
          <w:lang w:val="en-US" w:eastAsia="zh-CN"/>
        </w:rPr>
        <w:t>财政局</w:t>
      </w:r>
    </w:p>
    <w:p w14:paraId="2BE2ADA3">
      <w:pPr>
        <w:pStyle w:val="21"/>
        <w:rPr>
          <w:rFonts w:ascii="仿宋" w:hAnsi="仿宋" w:eastAsia="仿宋" w:cs="仿宋"/>
          <w:sz w:val="72"/>
          <w:szCs w:val="72"/>
        </w:rPr>
      </w:pPr>
    </w:p>
    <w:p w14:paraId="0141A5B4">
      <w:pPr>
        <w:pStyle w:val="21"/>
        <w:spacing w:line="900" w:lineRule="exact"/>
        <w:jc w:val="center"/>
        <w:rPr>
          <w:rFonts w:ascii="方正隶书简体" w:hAnsi="方正隶书简体" w:eastAsia="方正隶书简体" w:cs="方正隶书简体"/>
          <w:b/>
          <w:sz w:val="72"/>
          <w:szCs w:val="18"/>
        </w:rPr>
      </w:pPr>
      <w:r>
        <w:rPr>
          <w:rFonts w:hint="eastAsia" w:ascii="方正隶书简体" w:hAnsi="方正隶书简体" w:eastAsia="方正隶书简体" w:cs="方正隶书简体"/>
          <w:b/>
          <w:sz w:val="72"/>
          <w:szCs w:val="18"/>
        </w:rPr>
        <w:t>竞</w:t>
      </w:r>
    </w:p>
    <w:p w14:paraId="47E59921">
      <w:pPr>
        <w:pStyle w:val="21"/>
        <w:spacing w:line="900" w:lineRule="exact"/>
        <w:jc w:val="center"/>
        <w:rPr>
          <w:rFonts w:ascii="方正隶书简体" w:hAnsi="方正隶书简体" w:eastAsia="方正隶书简体" w:cs="方正隶书简体"/>
          <w:b/>
          <w:sz w:val="72"/>
          <w:szCs w:val="18"/>
        </w:rPr>
      </w:pPr>
      <w:r>
        <w:rPr>
          <w:rFonts w:hint="eastAsia" w:ascii="方正隶书简体" w:hAnsi="方正隶书简体" w:eastAsia="方正隶书简体" w:cs="方正隶书简体"/>
          <w:b/>
          <w:sz w:val="72"/>
          <w:szCs w:val="18"/>
        </w:rPr>
        <w:t>争</w:t>
      </w:r>
    </w:p>
    <w:p w14:paraId="037C20FA">
      <w:pPr>
        <w:pStyle w:val="21"/>
        <w:spacing w:line="900" w:lineRule="exact"/>
        <w:jc w:val="center"/>
        <w:rPr>
          <w:rFonts w:ascii="方正隶书简体" w:hAnsi="方正隶书简体" w:eastAsia="方正隶书简体" w:cs="方正隶书简体"/>
          <w:b/>
          <w:sz w:val="72"/>
          <w:szCs w:val="18"/>
        </w:rPr>
      </w:pPr>
      <w:r>
        <w:rPr>
          <w:rFonts w:hint="eastAsia" w:ascii="方正隶书简体" w:hAnsi="方正隶书简体" w:eastAsia="方正隶书简体" w:cs="方正隶书简体"/>
          <w:b/>
          <w:sz w:val="72"/>
          <w:szCs w:val="18"/>
        </w:rPr>
        <w:t>性</w:t>
      </w:r>
    </w:p>
    <w:p w14:paraId="4C8C7556">
      <w:pPr>
        <w:pStyle w:val="21"/>
        <w:spacing w:line="900" w:lineRule="exact"/>
        <w:jc w:val="center"/>
        <w:rPr>
          <w:rFonts w:ascii="方正隶书简体" w:hAnsi="方正隶书简体" w:eastAsia="方正隶书简体" w:cs="方正隶书简体"/>
          <w:b/>
          <w:sz w:val="72"/>
          <w:szCs w:val="18"/>
        </w:rPr>
      </w:pPr>
      <w:r>
        <w:rPr>
          <w:rFonts w:hint="eastAsia" w:ascii="方正隶书简体" w:hAnsi="方正隶书简体" w:eastAsia="方正隶书简体" w:cs="方正隶书简体"/>
          <w:b/>
          <w:sz w:val="72"/>
          <w:szCs w:val="18"/>
        </w:rPr>
        <w:t>磋</w:t>
      </w:r>
    </w:p>
    <w:p w14:paraId="35F94A68">
      <w:pPr>
        <w:pStyle w:val="21"/>
        <w:spacing w:line="900" w:lineRule="exact"/>
        <w:jc w:val="center"/>
        <w:rPr>
          <w:rFonts w:ascii="方正隶书简体" w:hAnsi="方正隶书简体" w:eastAsia="方正隶书简体" w:cs="方正隶书简体"/>
          <w:b/>
          <w:sz w:val="72"/>
          <w:szCs w:val="18"/>
        </w:rPr>
      </w:pPr>
      <w:r>
        <w:rPr>
          <w:rFonts w:hint="eastAsia" w:ascii="方正隶书简体" w:hAnsi="方正隶书简体" w:eastAsia="方正隶书简体" w:cs="方正隶书简体"/>
          <w:b/>
          <w:sz w:val="72"/>
          <w:szCs w:val="18"/>
        </w:rPr>
        <w:t>商</w:t>
      </w:r>
    </w:p>
    <w:p w14:paraId="4B0A5261">
      <w:pPr>
        <w:pStyle w:val="21"/>
        <w:spacing w:line="900" w:lineRule="exact"/>
        <w:jc w:val="center"/>
        <w:rPr>
          <w:rFonts w:ascii="方正隶书简体" w:hAnsi="方正隶书简体" w:eastAsia="方正隶书简体" w:cs="方正隶书简体"/>
          <w:b/>
          <w:sz w:val="72"/>
          <w:szCs w:val="18"/>
        </w:rPr>
      </w:pPr>
      <w:r>
        <w:rPr>
          <w:rFonts w:hint="eastAsia" w:ascii="方正隶书简体" w:hAnsi="方正隶书简体" w:eastAsia="方正隶书简体" w:cs="方正隶书简体"/>
          <w:b/>
          <w:sz w:val="72"/>
          <w:szCs w:val="18"/>
        </w:rPr>
        <w:t>文</w:t>
      </w:r>
    </w:p>
    <w:p w14:paraId="3F144D78">
      <w:pPr>
        <w:pStyle w:val="21"/>
        <w:spacing w:line="900" w:lineRule="exact"/>
        <w:jc w:val="center"/>
        <w:rPr>
          <w:rFonts w:ascii="方正隶书简体" w:hAnsi="方正隶书简体" w:eastAsia="方正隶书简体" w:cs="方正隶书简体"/>
          <w:b/>
          <w:sz w:val="72"/>
          <w:szCs w:val="18"/>
        </w:rPr>
      </w:pPr>
      <w:r>
        <w:rPr>
          <w:rFonts w:hint="eastAsia" w:ascii="方正隶书简体" w:hAnsi="方正隶书简体" w:eastAsia="方正隶书简体" w:cs="方正隶书简体"/>
          <w:b/>
          <w:sz w:val="72"/>
          <w:szCs w:val="18"/>
        </w:rPr>
        <w:t>件</w:t>
      </w:r>
    </w:p>
    <w:p w14:paraId="3E90056B"/>
    <w:p w14:paraId="5E09BACB">
      <w:pPr>
        <w:pStyle w:val="21"/>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仿宋" w:hAnsi="仿宋" w:eastAsia="仿宋" w:cs="仿宋"/>
          <w:sz w:val="36"/>
          <w:lang w:val="en" w:eastAsia="zh-CN"/>
        </w:rPr>
      </w:pPr>
      <w:r>
        <w:rPr>
          <w:rFonts w:hint="eastAsia" w:ascii="仿宋" w:hAnsi="仿宋" w:eastAsia="仿宋" w:cs="仿宋"/>
          <w:sz w:val="36"/>
        </w:rPr>
        <w:t>采购编号：QJ</w:t>
      </w:r>
      <w:r>
        <w:rPr>
          <w:rFonts w:hint="eastAsia" w:ascii="仿宋" w:hAnsi="仿宋" w:eastAsia="仿宋" w:cs="仿宋"/>
          <w:sz w:val="36"/>
          <w:lang w:val="en-US" w:eastAsia="zh-CN"/>
        </w:rPr>
        <w:t>CZ</w:t>
      </w:r>
      <w:r>
        <w:rPr>
          <w:rFonts w:hint="eastAsia" w:ascii="仿宋" w:hAnsi="仿宋" w:eastAsia="仿宋" w:cs="仿宋"/>
          <w:sz w:val="36"/>
        </w:rPr>
        <w:t>-</w:t>
      </w:r>
      <w:r>
        <w:rPr>
          <w:rFonts w:hint="eastAsia" w:ascii="仿宋" w:hAnsi="仿宋" w:eastAsia="仿宋" w:cs="仿宋"/>
          <w:sz w:val="36"/>
          <w:lang w:val="en-US" w:eastAsia="zh-CN"/>
        </w:rPr>
        <w:t>JZX</w:t>
      </w:r>
      <w:r>
        <w:rPr>
          <w:rFonts w:hint="eastAsia" w:ascii="仿宋" w:hAnsi="仿宋" w:eastAsia="仿宋" w:cs="仿宋"/>
          <w:sz w:val="36"/>
        </w:rPr>
        <w:t>CS20</w:t>
      </w:r>
      <w:r>
        <w:rPr>
          <w:rFonts w:hint="default" w:ascii="仿宋" w:hAnsi="仿宋" w:eastAsia="仿宋" w:cs="仿宋"/>
          <w:sz w:val="36"/>
          <w:lang w:val="en" w:eastAsia="zh-CN"/>
        </w:rPr>
        <w:t>2301</w:t>
      </w:r>
    </w:p>
    <w:p w14:paraId="0538EE08">
      <w:pPr>
        <w:rPr>
          <w:rFonts w:hint="default"/>
          <w:lang w:val="en" w:eastAsia="zh-CN"/>
        </w:rPr>
      </w:pPr>
    </w:p>
    <w:p w14:paraId="413561CD">
      <w:pPr>
        <w:pStyle w:val="21"/>
      </w:pPr>
    </w:p>
    <w:p w14:paraId="648A9DCC">
      <w:pPr>
        <w:pStyle w:val="21"/>
        <w:tabs>
          <w:tab w:val="left" w:pos="8580"/>
        </w:tabs>
      </w:pPr>
      <w:r>
        <w:rPr>
          <w:rFonts w:hint="eastAsia"/>
        </w:rPr>
        <w:t xml:space="preserve"> </w:t>
      </w:r>
    </w:p>
    <w:p w14:paraId="02510ECD">
      <w:pPr>
        <w:pStyle w:val="21"/>
      </w:pPr>
    </w:p>
    <w:p w14:paraId="00528E43">
      <w:pPr>
        <w:pStyle w:val="21"/>
        <w:sectPr>
          <w:headerReference r:id="rId5" w:type="first"/>
          <w:footerReference r:id="rId7" w:type="first"/>
          <w:headerReference r:id="rId4" w:type="default"/>
          <w:footerReference r:id="rId6" w:type="default"/>
          <w:pgSz w:w="11906" w:h="16838"/>
          <w:pgMar w:top="1134" w:right="1134" w:bottom="1247" w:left="1134" w:header="1020" w:footer="567" w:gutter="0"/>
          <w:cols w:space="720" w:num="1"/>
          <w:titlePg/>
          <w:docGrid w:linePitch="312" w:charSpace="0"/>
        </w:sectPr>
      </w:pPr>
    </w:p>
    <w:p w14:paraId="757855E5">
      <w:pPr>
        <w:jc w:val="center"/>
        <w:rPr>
          <w:rFonts w:ascii="宋体" w:hAnsi="宋体"/>
          <w:sz w:val="36"/>
          <w:szCs w:val="32"/>
        </w:rPr>
      </w:pPr>
    </w:p>
    <w:p w14:paraId="0B5076C6">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目</w:t>
      </w:r>
      <w:r>
        <w:rPr>
          <w:rFonts w:hint="eastAsia" w:ascii="方正小标宋_GBK" w:hAnsi="方正小标宋_GBK" w:eastAsia="方正小标宋_GBK" w:cs="方正小标宋_GBK"/>
          <w:sz w:val="44"/>
          <w:szCs w:val="44"/>
          <w:lang w:val="en-US" w:eastAsia="zh-CN"/>
        </w:rPr>
        <w:t xml:space="preserve"> </w:t>
      </w:r>
      <w:r>
        <w:rPr>
          <w:rFonts w:hint="eastAsia" w:ascii="方正小标宋_GBK" w:hAnsi="方正小标宋_GBK" w:eastAsia="方正小标宋_GBK" w:cs="方正小标宋_GBK"/>
          <w:sz w:val="44"/>
          <w:szCs w:val="44"/>
        </w:rPr>
        <w:t>录</w:t>
      </w:r>
    </w:p>
    <w:p w14:paraId="65A65237">
      <w:pPr>
        <w:pStyle w:val="28"/>
        <w:keepNext w:val="0"/>
        <w:keepLines w:val="0"/>
        <w:pageBreakBefore w:val="0"/>
        <w:widowControl w:val="0"/>
        <w:tabs>
          <w:tab w:val="right" w:leader="dot" w:pos="9638"/>
        </w:tabs>
        <w:kinsoku/>
        <w:wordWrap/>
        <w:overflowPunct/>
        <w:topLinePunct w:val="0"/>
        <w:autoSpaceDE/>
        <w:autoSpaceDN/>
        <w:bidi w:val="0"/>
        <w:adjustRightInd/>
        <w:snapToGrid/>
        <w:spacing w:before="0" w:line="600" w:lineRule="exact"/>
        <w:ind w:left="0" w:leftChars="0"/>
        <w:textAlignment w:val="auto"/>
        <w:rPr>
          <w:rFonts w:hint="default" w:ascii="Times New Roman" w:hAnsi="Times New Roman" w:eastAsia="方正仿宋_GBK" w:cs="Times New Roman"/>
          <w:sz w:val="32"/>
          <w:szCs w:val="32"/>
        </w:rPr>
      </w:pPr>
      <w:r>
        <w:rPr>
          <w:rFonts w:hint="eastAsia" w:ascii="仿宋" w:hAnsi="仿宋" w:eastAsia="仿宋" w:cs="仿宋"/>
          <w:b w:val="0"/>
          <w:bCs w:val="0"/>
          <w:caps w:val="0"/>
          <w:sz w:val="28"/>
          <w:szCs w:val="28"/>
        </w:rPr>
        <w:fldChar w:fldCharType="begin"/>
      </w:r>
      <w:r>
        <w:rPr>
          <w:rFonts w:hint="eastAsia" w:ascii="仿宋" w:hAnsi="仿宋" w:eastAsia="仿宋" w:cs="仿宋"/>
          <w:b w:val="0"/>
          <w:bCs w:val="0"/>
          <w:caps w:val="0"/>
          <w:sz w:val="28"/>
          <w:szCs w:val="28"/>
        </w:rPr>
        <w:instrText xml:space="preserve">TOC \o "1-3" \h \u </w:instrText>
      </w:r>
      <w:r>
        <w:rPr>
          <w:rFonts w:hint="eastAsia" w:ascii="仿宋" w:hAnsi="仿宋" w:eastAsia="仿宋" w:cs="仿宋"/>
          <w:b w:val="0"/>
          <w:bCs w:val="0"/>
          <w:caps w:val="0"/>
          <w:sz w:val="28"/>
          <w:szCs w:val="28"/>
        </w:rPr>
        <w:fldChar w:fldCharType="separate"/>
      </w: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_Toc17675 </w:instrText>
      </w:r>
      <w:r>
        <w:rPr>
          <w:rFonts w:hint="default" w:ascii="Times New Roman" w:hAnsi="Times New Roman" w:eastAsia="方正仿宋_GBK" w:cs="Times New Roman"/>
          <w:bCs w:val="0"/>
          <w:caps w:val="0"/>
          <w:sz w:val="32"/>
          <w:szCs w:val="32"/>
        </w:rPr>
        <w:fldChar w:fldCharType="separate"/>
      </w:r>
      <w:r>
        <w:rPr>
          <w:rFonts w:hint="default" w:ascii="Times New Roman" w:hAnsi="Times New Roman" w:eastAsia="方正仿宋_GBK" w:cs="Times New Roman"/>
          <w:sz w:val="32"/>
          <w:szCs w:val="32"/>
        </w:rPr>
        <w:t>第一章  邀请书</w:t>
      </w:r>
      <w:r>
        <w:rPr>
          <w:rFonts w:hint="default" w:ascii="Times New Roman" w:hAnsi="Times New Roman" w:eastAsia="方正仿宋_GBK" w:cs="Times New Roman"/>
          <w:bCs w:val="0"/>
          <w:caps w:val="0"/>
          <w:sz w:val="32"/>
          <w:szCs w:val="32"/>
        </w:rPr>
        <w:fldChar w:fldCharType="end"/>
      </w:r>
    </w:p>
    <w:p w14:paraId="701ABFB1">
      <w:pPr>
        <w:pStyle w:val="28"/>
        <w:keepNext w:val="0"/>
        <w:keepLines w:val="0"/>
        <w:pageBreakBefore w:val="0"/>
        <w:widowControl w:val="0"/>
        <w:tabs>
          <w:tab w:val="right" w:leader="dot" w:pos="9638"/>
        </w:tabs>
        <w:kinsoku/>
        <w:wordWrap/>
        <w:overflowPunct/>
        <w:topLinePunct w:val="0"/>
        <w:autoSpaceDE/>
        <w:autoSpaceDN/>
        <w:bidi w:val="0"/>
        <w:adjustRightInd/>
        <w:snapToGrid/>
        <w:spacing w:before="0" w:line="600" w:lineRule="exact"/>
        <w:ind w:left="0" w:lef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_Toc16285 </w:instrText>
      </w:r>
      <w:r>
        <w:rPr>
          <w:rFonts w:hint="default" w:ascii="Times New Roman" w:hAnsi="Times New Roman" w:eastAsia="方正仿宋_GBK" w:cs="Times New Roman"/>
          <w:bCs w:val="0"/>
          <w:caps w:val="0"/>
          <w:sz w:val="32"/>
          <w:szCs w:val="32"/>
        </w:rPr>
        <w:fldChar w:fldCharType="separate"/>
      </w:r>
      <w:r>
        <w:rPr>
          <w:rFonts w:hint="default" w:ascii="Times New Roman" w:hAnsi="Times New Roman" w:eastAsia="方正仿宋_GBK" w:cs="Times New Roman"/>
          <w:sz w:val="32"/>
          <w:szCs w:val="32"/>
        </w:rPr>
        <w:t>第二章  文件和项目要求</w:t>
      </w:r>
      <w:r>
        <w:rPr>
          <w:rFonts w:hint="default" w:ascii="Times New Roman" w:hAnsi="Times New Roman" w:eastAsia="方正仿宋_GBK" w:cs="Times New Roman"/>
          <w:bCs w:val="0"/>
          <w:caps w:val="0"/>
          <w:sz w:val="32"/>
          <w:szCs w:val="32"/>
        </w:rPr>
        <w:fldChar w:fldCharType="end"/>
      </w:r>
    </w:p>
    <w:p w14:paraId="0963A190">
      <w:pPr>
        <w:pStyle w:val="28"/>
        <w:keepNext w:val="0"/>
        <w:keepLines w:val="0"/>
        <w:pageBreakBefore w:val="0"/>
        <w:widowControl w:val="0"/>
        <w:tabs>
          <w:tab w:val="right" w:leader="dot" w:pos="9638"/>
        </w:tabs>
        <w:kinsoku/>
        <w:wordWrap/>
        <w:overflowPunct/>
        <w:topLinePunct w:val="0"/>
        <w:autoSpaceDE/>
        <w:autoSpaceDN/>
        <w:bidi w:val="0"/>
        <w:adjustRightInd/>
        <w:snapToGrid/>
        <w:spacing w:before="0" w:line="600" w:lineRule="exact"/>
        <w:ind w:left="0" w:lef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_Toc27878 </w:instrText>
      </w:r>
      <w:r>
        <w:rPr>
          <w:rFonts w:hint="default" w:ascii="Times New Roman" w:hAnsi="Times New Roman" w:eastAsia="方正仿宋_GBK" w:cs="Times New Roman"/>
          <w:bCs w:val="0"/>
          <w:caps w:val="0"/>
          <w:sz w:val="32"/>
          <w:szCs w:val="32"/>
        </w:rPr>
        <w:fldChar w:fldCharType="separate"/>
      </w:r>
      <w:r>
        <w:rPr>
          <w:rFonts w:hint="default" w:ascii="Times New Roman" w:hAnsi="Times New Roman" w:eastAsia="方正仿宋_GBK" w:cs="Times New Roman"/>
          <w:sz w:val="32"/>
          <w:szCs w:val="32"/>
        </w:rPr>
        <w:t>第三章  供应商须知</w:t>
      </w:r>
      <w:r>
        <w:rPr>
          <w:rFonts w:hint="default" w:ascii="Times New Roman" w:hAnsi="Times New Roman" w:eastAsia="方正仿宋_GBK" w:cs="Times New Roman"/>
          <w:bCs w:val="0"/>
          <w:caps w:val="0"/>
          <w:sz w:val="32"/>
          <w:szCs w:val="32"/>
        </w:rPr>
        <w:fldChar w:fldCharType="end"/>
      </w:r>
    </w:p>
    <w:p w14:paraId="1E5E8E69">
      <w:pPr>
        <w:pStyle w:val="31"/>
        <w:keepNext w:val="0"/>
        <w:keepLines w:val="0"/>
        <w:pageBreakBefore w:val="0"/>
        <w:widowControl w:val="0"/>
        <w:tabs>
          <w:tab w:val="right" w:leader="dot" w:pos="9638"/>
        </w:tabs>
        <w:kinsoku/>
        <w:wordWrap/>
        <w:overflowPunct/>
        <w:topLinePunct w:val="0"/>
        <w:autoSpaceDE/>
        <w:autoSpaceDN/>
        <w:bidi w:val="0"/>
        <w:adjustRightInd/>
        <w:snapToGrid/>
        <w:spacing w:line="600" w:lineRule="exact"/>
        <w:ind w:left="0" w:lef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_Toc21631 </w:instrText>
      </w:r>
      <w:r>
        <w:rPr>
          <w:rFonts w:hint="default" w:ascii="Times New Roman" w:hAnsi="Times New Roman" w:eastAsia="方正仿宋_GBK" w:cs="Times New Roman"/>
          <w:bCs w:val="0"/>
          <w:caps w:val="0"/>
          <w:sz w:val="32"/>
          <w:szCs w:val="32"/>
        </w:rPr>
        <w:fldChar w:fldCharType="separate"/>
      </w:r>
      <w:r>
        <w:rPr>
          <w:rFonts w:hint="default" w:ascii="Times New Roman" w:hAnsi="Times New Roman" w:eastAsia="方正仿宋_GBK" w:cs="Times New Roman"/>
          <w:bCs/>
          <w:sz w:val="32"/>
          <w:szCs w:val="32"/>
        </w:rPr>
        <w:t>一、响应文件编制</w:t>
      </w:r>
      <w:r>
        <w:rPr>
          <w:rFonts w:hint="default" w:ascii="Times New Roman" w:hAnsi="Times New Roman" w:eastAsia="方正仿宋_GBK" w:cs="Times New Roman"/>
          <w:bCs w:val="0"/>
          <w:caps w:val="0"/>
          <w:sz w:val="32"/>
          <w:szCs w:val="32"/>
        </w:rPr>
        <w:fldChar w:fldCharType="end"/>
      </w:r>
    </w:p>
    <w:p w14:paraId="3C279C8D">
      <w:pPr>
        <w:pStyle w:val="31"/>
        <w:keepNext w:val="0"/>
        <w:keepLines w:val="0"/>
        <w:pageBreakBefore w:val="0"/>
        <w:widowControl w:val="0"/>
        <w:tabs>
          <w:tab w:val="right" w:leader="dot" w:pos="9638"/>
        </w:tabs>
        <w:kinsoku/>
        <w:wordWrap/>
        <w:overflowPunct/>
        <w:topLinePunct w:val="0"/>
        <w:autoSpaceDE/>
        <w:autoSpaceDN/>
        <w:bidi w:val="0"/>
        <w:adjustRightInd/>
        <w:snapToGrid/>
        <w:spacing w:line="600" w:lineRule="exact"/>
        <w:ind w:left="0" w:lef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_Toc15368 </w:instrText>
      </w:r>
      <w:r>
        <w:rPr>
          <w:rFonts w:hint="default" w:ascii="Times New Roman" w:hAnsi="Times New Roman" w:eastAsia="方正仿宋_GBK" w:cs="Times New Roman"/>
          <w:bCs w:val="0"/>
          <w:caps w:val="0"/>
          <w:sz w:val="32"/>
          <w:szCs w:val="32"/>
        </w:rPr>
        <w:fldChar w:fldCharType="separate"/>
      </w:r>
      <w:r>
        <w:rPr>
          <w:rFonts w:hint="default" w:ascii="Times New Roman" w:hAnsi="Times New Roman" w:eastAsia="方正仿宋_GBK" w:cs="Times New Roman"/>
          <w:sz w:val="32"/>
          <w:szCs w:val="32"/>
        </w:rPr>
        <w:t>二、及评审</w:t>
      </w:r>
      <w:r>
        <w:rPr>
          <w:rFonts w:hint="default" w:ascii="Times New Roman" w:hAnsi="Times New Roman" w:eastAsia="方正仿宋_GBK" w:cs="Times New Roman"/>
          <w:bCs w:val="0"/>
          <w:caps w:val="0"/>
          <w:sz w:val="32"/>
          <w:szCs w:val="32"/>
        </w:rPr>
        <w:fldChar w:fldCharType="end"/>
      </w:r>
    </w:p>
    <w:p w14:paraId="48682418">
      <w:pPr>
        <w:pStyle w:val="31"/>
        <w:keepNext w:val="0"/>
        <w:keepLines w:val="0"/>
        <w:pageBreakBefore w:val="0"/>
        <w:widowControl w:val="0"/>
        <w:tabs>
          <w:tab w:val="right" w:leader="dot" w:pos="9638"/>
        </w:tabs>
        <w:kinsoku/>
        <w:wordWrap/>
        <w:overflowPunct/>
        <w:topLinePunct w:val="0"/>
        <w:autoSpaceDE/>
        <w:autoSpaceDN/>
        <w:bidi w:val="0"/>
        <w:adjustRightInd/>
        <w:snapToGrid/>
        <w:spacing w:line="600" w:lineRule="exact"/>
        <w:ind w:left="0" w:leftChars="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_Toc9309 </w:instrText>
      </w:r>
      <w:r>
        <w:rPr>
          <w:rFonts w:hint="default" w:ascii="Times New Roman" w:hAnsi="Times New Roman" w:eastAsia="方正仿宋_GBK" w:cs="Times New Roman"/>
          <w:bCs w:val="0"/>
          <w:caps w:val="0"/>
          <w:sz w:val="32"/>
          <w:szCs w:val="32"/>
        </w:rPr>
        <w:fldChar w:fldCharType="separate"/>
      </w:r>
      <w:r>
        <w:rPr>
          <w:rFonts w:hint="default" w:ascii="Times New Roman" w:hAnsi="Times New Roman" w:eastAsia="方正仿宋_GBK" w:cs="Times New Roman"/>
          <w:sz w:val="32"/>
          <w:szCs w:val="32"/>
        </w:rPr>
        <w:t>三、授予合同</w:t>
      </w:r>
      <w:r>
        <w:rPr>
          <w:rFonts w:hint="default" w:ascii="Times New Roman" w:hAnsi="Times New Roman" w:eastAsia="方正仿宋_GBK" w:cs="Times New Roman"/>
          <w:bCs w:val="0"/>
          <w:caps w:val="0"/>
          <w:sz w:val="32"/>
          <w:szCs w:val="32"/>
        </w:rPr>
        <w:fldChar w:fldCharType="end"/>
      </w:r>
    </w:p>
    <w:p w14:paraId="2B866E3A">
      <w:pPr>
        <w:pStyle w:val="28"/>
        <w:keepNext w:val="0"/>
        <w:keepLines w:val="0"/>
        <w:pageBreakBefore w:val="0"/>
        <w:widowControl w:val="0"/>
        <w:tabs>
          <w:tab w:val="right" w:leader="dot" w:pos="9638"/>
        </w:tabs>
        <w:kinsoku/>
        <w:wordWrap/>
        <w:overflowPunct/>
        <w:topLinePunct w:val="0"/>
        <w:autoSpaceDE/>
        <w:autoSpaceDN/>
        <w:bidi w:val="0"/>
        <w:adjustRightInd/>
        <w:snapToGrid/>
        <w:spacing w:before="0" w:line="600" w:lineRule="exact"/>
        <w:ind w:left="0" w:lef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_Toc24769 </w:instrText>
      </w:r>
      <w:r>
        <w:rPr>
          <w:rFonts w:hint="default" w:ascii="Times New Roman" w:hAnsi="Times New Roman" w:eastAsia="方正仿宋_GBK" w:cs="Times New Roman"/>
          <w:bCs w:val="0"/>
          <w:caps w:val="0"/>
          <w:sz w:val="32"/>
          <w:szCs w:val="32"/>
        </w:rPr>
        <w:fldChar w:fldCharType="separate"/>
      </w:r>
      <w:r>
        <w:rPr>
          <w:rFonts w:hint="default" w:ascii="Times New Roman" w:hAnsi="Times New Roman" w:eastAsia="方正仿宋_GBK" w:cs="Times New Roman"/>
          <w:sz w:val="32"/>
          <w:szCs w:val="32"/>
        </w:rPr>
        <w:t xml:space="preserve">第四章 </w:t>
      </w:r>
      <w:r>
        <w:rPr>
          <w:rFonts w:hint="default" w:ascii="Times New Roman" w:hAnsi="Times New Roman" w:eastAsia="方正仿宋_GBK" w:cs="Times New Roman"/>
          <w:sz w:val="32"/>
          <w:szCs w:val="32"/>
          <w:lang w:val="en-US" w:eastAsia="zh-CN"/>
        </w:rPr>
        <w:t>曲靖政府采购电子交易系统项目需求</w:t>
      </w:r>
      <w:r>
        <w:rPr>
          <w:rFonts w:hint="default" w:ascii="Times New Roman" w:hAnsi="Times New Roman" w:eastAsia="方正仿宋_GBK" w:cs="Times New Roman"/>
          <w:bCs w:val="0"/>
          <w:caps w:val="0"/>
          <w:sz w:val="32"/>
          <w:szCs w:val="32"/>
        </w:rPr>
        <w:fldChar w:fldCharType="end"/>
      </w:r>
    </w:p>
    <w:p w14:paraId="3E8AA5B3">
      <w:pPr>
        <w:pStyle w:val="28"/>
        <w:keepNext w:val="0"/>
        <w:keepLines w:val="0"/>
        <w:pageBreakBefore w:val="0"/>
        <w:widowControl w:val="0"/>
        <w:tabs>
          <w:tab w:val="right" w:leader="dot" w:pos="9638"/>
        </w:tabs>
        <w:kinsoku/>
        <w:wordWrap/>
        <w:overflowPunct/>
        <w:topLinePunct w:val="0"/>
        <w:autoSpaceDE/>
        <w:autoSpaceDN/>
        <w:bidi w:val="0"/>
        <w:adjustRightInd/>
        <w:snapToGrid/>
        <w:spacing w:before="0" w:line="600" w:lineRule="exact"/>
        <w:ind w:left="0" w:lef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_Toc5340 </w:instrText>
      </w:r>
      <w:r>
        <w:rPr>
          <w:rFonts w:hint="default" w:ascii="Times New Roman" w:hAnsi="Times New Roman" w:eastAsia="方正仿宋_GBK" w:cs="Times New Roman"/>
          <w:bCs w:val="0"/>
          <w:caps w:val="0"/>
          <w:sz w:val="32"/>
          <w:szCs w:val="32"/>
        </w:rPr>
        <w:fldChar w:fldCharType="separate"/>
      </w:r>
      <w:r>
        <w:rPr>
          <w:rFonts w:hint="default" w:ascii="Times New Roman" w:hAnsi="Times New Roman" w:eastAsia="方正仿宋_GBK" w:cs="Times New Roman"/>
          <w:sz w:val="32"/>
          <w:szCs w:val="32"/>
        </w:rPr>
        <w:t>第五章  合同格式文本</w:t>
      </w:r>
      <w:r>
        <w:rPr>
          <w:rFonts w:hint="default" w:ascii="Times New Roman" w:hAnsi="Times New Roman" w:eastAsia="方正仿宋_GBK" w:cs="Times New Roman"/>
          <w:bCs w:val="0"/>
          <w:caps w:val="0"/>
          <w:sz w:val="32"/>
          <w:szCs w:val="32"/>
        </w:rPr>
        <w:fldChar w:fldCharType="end"/>
      </w:r>
    </w:p>
    <w:p w14:paraId="4F159449">
      <w:pPr>
        <w:pStyle w:val="28"/>
        <w:keepNext w:val="0"/>
        <w:keepLines w:val="0"/>
        <w:pageBreakBefore w:val="0"/>
        <w:widowControl w:val="0"/>
        <w:tabs>
          <w:tab w:val="right" w:leader="dot" w:pos="9638"/>
        </w:tabs>
        <w:kinsoku/>
        <w:wordWrap/>
        <w:overflowPunct/>
        <w:topLinePunct w:val="0"/>
        <w:autoSpaceDE/>
        <w:autoSpaceDN/>
        <w:bidi w:val="0"/>
        <w:adjustRightInd/>
        <w:snapToGrid/>
        <w:spacing w:before="0" w:line="600" w:lineRule="exact"/>
        <w:ind w:left="0" w:leftChars="0"/>
        <w:textAlignment w:val="auto"/>
        <w:rPr>
          <w:rFonts w:hint="default" w:ascii="Times New Roman" w:hAnsi="Times New Roman" w:cs="Times New Roman"/>
          <w:sz w:val="32"/>
          <w:szCs w:val="32"/>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_Toc8299 </w:instrText>
      </w:r>
      <w:r>
        <w:rPr>
          <w:rFonts w:hint="default" w:ascii="Times New Roman" w:hAnsi="Times New Roman" w:eastAsia="方正仿宋_GBK" w:cs="Times New Roman"/>
          <w:bCs w:val="0"/>
          <w:caps w:val="0"/>
          <w:sz w:val="32"/>
          <w:szCs w:val="32"/>
        </w:rPr>
        <w:fldChar w:fldCharType="separate"/>
      </w:r>
      <w:r>
        <w:rPr>
          <w:rFonts w:hint="default" w:ascii="Times New Roman" w:hAnsi="Times New Roman" w:eastAsia="方正仿宋_GBK" w:cs="Times New Roman"/>
          <w:sz w:val="32"/>
          <w:szCs w:val="32"/>
        </w:rPr>
        <w:t>第六章   响应文件格式</w:t>
      </w:r>
      <w:r>
        <w:rPr>
          <w:rFonts w:hint="default" w:ascii="Times New Roman" w:hAnsi="Times New Roman" w:eastAsia="方正仿宋_GBK" w:cs="Times New Roman"/>
          <w:bCs w:val="0"/>
          <w:caps w:val="0"/>
          <w:sz w:val="32"/>
          <w:szCs w:val="32"/>
        </w:rPr>
        <w:fldChar w:fldCharType="end"/>
      </w:r>
    </w:p>
    <w:p w14:paraId="4016B992">
      <w:pPr>
        <w:pStyle w:val="31"/>
        <w:keepNext w:val="0"/>
        <w:keepLines w:val="0"/>
        <w:pageBreakBefore w:val="0"/>
        <w:widowControl w:val="0"/>
        <w:tabs>
          <w:tab w:val="right" w:leader="dot" w:pos="9638"/>
        </w:tabs>
        <w:kinsoku/>
        <w:wordWrap/>
        <w:overflowPunct/>
        <w:topLinePunct w:val="0"/>
        <w:autoSpaceDE/>
        <w:autoSpaceDN/>
        <w:bidi w:val="0"/>
        <w:adjustRightInd/>
        <w:snapToGrid/>
        <w:spacing w:line="600" w:lineRule="exact"/>
        <w:ind w:left="0" w:lef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_Toc6924 </w:instrText>
      </w:r>
      <w:r>
        <w:rPr>
          <w:rFonts w:hint="default" w:ascii="Times New Roman" w:hAnsi="Times New Roman" w:eastAsia="方正仿宋_GBK" w:cs="Times New Roman"/>
          <w:bCs w:val="0"/>
          <w:caps w:val="0"/>
          <w:sz w:val="32"/>
          <w:szCs w:val="32"/>
        </w:rPr>
        <w:fldChar w:fldCharType="separate"/>
      </w:r>
      <w:r>
        <w:rPr>
          <w:rFonts w:hint="default" w:ascii="Times New Roman" w:hAnsi="Times New Roman" w:eastAsia="方正仿宋_GBK" w:cs="Times New Roman"/>
          <w:sz w:val="32"/>
          <w:szCs w:val="32"/>
        </w:rPr>
        <w:t>一、响应说明</w:t>
      </w:r>
      <w:r>
        <w:rPr>
          <w:rFonts w:hint="default" w:ascii="Times New Roman" w:hAnsi="Times New Roman" w:eastAsia="方正仿宋_GBK" w:cs="Times New Roman"/>
          <w:bCs w:val="0"/>
          <w:caps w:val="0"/>
          <w:sz w:val="32"/>
          <w:szCs w:val="32"/>
        </w:rPr>
        <w:fldChar w:fldCharType="end"/>
      </w:r>
    </w:p>
    <w:p w14:paraId="7B847F1B">
      <w:pPr>
        <w:pStyle w:val="31"/>
        <w:keepNext w:val="0"/>
        <w:keepLines w:val="0"/>
        <w:pageBreakBefore w:val="0"/>
        <w:widowControl w:val="0"/>
        <w:tabs>
          <w:tab w:val="right" w:leader="dot" w:pos="9638"/>
        </w:tabs>
        <w:kinsoku/>
        <w:wordWrap/>
        <w:overflowPunct/>
        <w:topLinePunct w:val="0"/>
        <w:autoSpaceDE/>
        <w:autoSpaceDN/>
        <w:bidi w:val="0"/>
        <w:adjustRightInd/>
        <w:snapToGrid/>
        <w:spacing w:line="600" w:lineRule="exact"/>
        <w:ind w:left="0" w:lef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_Toc21612 </w:instrText>
      </w:r>
      <w:r>
        <w:rPr>
          <w:rFonts w:hint="default" w:ascii="Times New Roman" w:hAnsi="Times New Roman" w:eastAsia="方正仿宋_GBK" w:cs="Times New Roman"/>
          <w:bCs w:val="0"/>
          <w:caps w:val="0"/>
          <w:sz w:val="32"/>
          <w:szCs w:val="32"/>
        </w:rPr>
        <w:fldChar w:fldCharType="separate"/>
      </w:r>
      <w:r>
        <w:rPr>
          <w:rFonts w:hint="default" w:ascii="Times New Roman" w:hAnsi="Times New Roman" w:eastAsia="方正仿宋_GBK" w:cs="Times New Roman"/>
          <w:sz w:val="32"/>
          <w:szCs w:val="32"/>
        </w:rPr>
        <w:t>二、</w:t>
      </w:r>
      <w:r>
        <w:rPr>
          <w:rFonts w:hint="default" w:ascii="Times New Roman" w:hAnsi="Times New Roman" w:eastAsia="方正仿宋_GBK" w:cs="Times New Roman"/>
          <w:sz w:val="32"/>
          <w:szCs w:val="32"/>
          <w:lang w:eastAsia="zh-CN"/>
        </w:rPr>
        <w:t>报价表</w:t>
      </w:r>
      <w:r>
        <w:rPr>
          <w:rFonts w:hint="default" w:ascii="Times New Roman" w:hAnsi="Times New Roman" w:eastAsia="方正仿宋_GBK" w:cs="Times New Roman"/>
          <w:bCs w:val="0"/>
          <w:caps w:val="0"/>
          <w:sz w:val="32"/>
          <w:szCs w:val="32"/>
        </w:rPr>
        <w:fldChar w:fldCharType="end"/>
      </w:r>
    </w:p>
    <w:p w14:paraId="3D9E25A2">
      <w:pPr>
        <w:pStyle w:val="31"/>
        <w:keepNext w:val="0"/>
        <w:keepLines w:val="0"/>
        <w:pageBreakBefore w:val="0"/>
        <w:widowControl w:val="0"/>
        <w:tabs>
          <w:tab w:val="right" w:leader="dot" w:pos="9638"/>
        </w:tabs>
        <w:kinsoku/>
        <w:wordWrap/>
        <w:overflowPunct/>
        <w:topLinePunct w:val="0"/>
        <w:autoSpaceDE/>
        <w:autoSpaceDN/>
        <w:bidi w:val="0"/>
        <w:adjustRightInd/>
        <w:snapToGrid/>
        <w:spacing w:line="600" w:lineRule="exact"/>
        <w:ind w:left="0" w:lef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_Toc26863 </w:instrText>
      </w:r>
      <w:r>
        <w:rPr>
          <w:rFonts w:hint="default" w:ascii="Times New Roman" w:hAnsi="Times New Roman" w:eastAsia="方正仿宋_GBK" w:cs="Times New Roman"/>
          <w:bCs w:val="0"/>
          <w:caps w:val="0"/>
          <w:sz w:val="32"/>
          <w:szCs w:val="32"/>
        </w:rPr>
        <w:fldChar w:fldCharType="separate"/>
      </w:r>
      <w:r>
        <w:rPr>
          <w:rFonts w:hint="eastAsia" w:eastAsia="方正仿宋_GBK" w:cs="Times New Roman"/>
          <w:bCs w:val="0"/>
          <w:caps w:val="0"/>
          <w:sz w:val="32"/>
          <w:szCs w:val="32"/>
          <w:lang w:val="en-US" w:eastAsia="zh-CN"/>
        </w:rPr>
        <w:t>三</w:t>
      </w:r>
      <w:r>
        <w:rPr>
          <w:rFonts w:hint="default" w:ascii="Times New Roman" w:hAnsi="Times New Roman" w:eastAsia="方正仿宋_GBK" w:cs="Times New Roman"/>
          <w:bCs w:val="0"/>
          <w:sz w:val="32"/>
          <w:szCs w:val="32"/>
        </w:rPr>
        <w:t xml:space="preserve">、 </w:t>
      </w:r>
      <w:r>
        <w:rPr>
          <w:rFonts w:hint="default" w:ascii="Times New Roman" w:hAnsi="Times New Roman" w:eastAsia="方正仿宋_GBK" w:cs="Times New Roman"/>
          <w:bCs w:val="0"/>
          <w:kern w:val="0"/>
          <w:sz w:val="32"/>
          <w:szCs w:val="32"/>
        </w:rPr>
        <w:t>项目实施方案</w:t>
      </w:r>
      <w:r>
        <w:rPr>
          <w:rFonts w:hint="default" w:ascii="Times New Roman" w:hAnsi="Times New Roman" w:eastAsia="方正仿宋_GBK" w:cs="Times New Roman"/>
          <w:bCs w:val="0"/>
          <w:caps w:val="0"/>
          <w:sz w:val="32"/>
          <w:szCs w:val="32"/>
        </w:rPr>
        <w:fldChar w:fldCharType="end"/>
      </w:r>
    </w:p>
    <w:p w14:paraId="4E30EA2C">
      <w:pPr>
        <w:pStyle w:val="31"/>
        <w:keepNext w:val="0"/>
        <w:keepLines w:val="0"/>
        <w:pageBreakBefore w:val="0"/>
        <w:widowControl w:val="0"/>
        <w:tabs>
          <w:tab w:val="right" w:leader="dot" w:pos="9638"/>
        </w:tabs>
        <w:kinsoku/>
        <w:wordWrap/>
        <w:overflowPunct/>
        <w:topLinePunct w:val="0"/>
        <w:autoSpaceDE/>
        <w:autoSpaceDN/>
        <w:bidi w:val="0"/>
        <w:adjustRightInd/>
        <w:snapToGrid/>
        <w:spacing w:line="600" w:lineRule="exact"/>
        <w:ind w:left="0" w:leftChars="0"/>
        <w:textAlignment w:val="auto"/>
        <w:rPr>
          <w:rFonts w:hint="default" w:ascii="Times New Roman" w:hAnsi="Times New Roman" w:eastAsia="方正仿宋_GBK" w:cs="Times New Roman"/>
          <w:bCs w:val="0"/>
          <w:caps w:val="0"/>
          <w:sz w:val="32"/>
          <w:szCs w:val="32"/>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_Toc29742 </w:instrText>
      </w:r>
      <w:r>
        <w:rPr>
          <w:rFonts w:hint="default" w:ascii="Times New Roman" w:hAnsi="Times New Roman" w:eastAsia="方正仿宋_GBK" w:cs="Times New Roman"/>
          <w:bCs w:val="0"/>
          <w:caps w:val="0"/>
          <w:sz w:val="32"/>
          <w:szCs w:val="32"/>
        </w:rPr>
        <w:fldChar w:fldCharType="separate"/>
      </w:r>
      <w:r>
        <w:rPr>
          <w:rFonts w:hint="eastAsia" w:eastAsia="方正仿宋_GBK" w:cs="Times New Roman"/>
          <w:bCs w:val="0"/>
          <w:caps w:val="0"/>
          <w:sz w:val="32"/>
          <w:szCs w:val="32"/>
          <w:lang w:val="en-US" w:eastAsia="zh-CN"/>
        </w:rPr>
        <w:t>四</w:t>
      </w:r>
      <w:r>
        <w:rPr>
          <w:rFonts w:hint="default" w:ascii="Times New Roman" w:hAnsi="Times New Roman" w:eastAsia="方正仿宋_GBK" w:cs="Times New Roman"/>
          <w:kern w:val="0"/>
          <w:sz w:val="32"/>
          <w:szCs w:val="32"/>
          <w:lang w:val="en-US" w:eastAsia="zh-CN"/>
        </w:rPr>
        <w:t>、中小</w:t>
      </w:r>
      <w:r>
        <w:rPr>
          <w:rFonts w:hint="default" w:ascii="Times New Roman" w:hAnsi="Times New Roman" w:eastAsia="方正仿宋_GBK" w:cs="Times New Roman"/>
          <w:kern w:val="0"/>
          <w:sz w:val="32"/>
          <w:szCs w:val="32"/>
        </w:rPr>
        <w:t>企业声明函</w:t>
      </w:r>
      <w:r>
        <w:rPr>
          <w:rFonts w:hint="default" w:ascii="Times New Roman" w:hAnsi="Times New Roman" w:eastAsia="方正仿宋_GBK" w:cs="Times New Roman"/>
          <w:bCs w:val="0"/>
          <w:caps w:val="0"/>
          <w:sz w:val="32"/>
          <w:szCs w:val="32"/>
        </w:rPr>
        <w:fldChar w:fldCharType="end"/>
      </w:r>
    </w:p>
    <w:p w14:paraId="328CA302">
      <w:pPr>
        <w:pStyle w:val="21"/>
        <w:keepNext w:val="0"/>
        <w:keepLines w:val="0"/>
        <w:pageBreakBefore w:val="0"/>
        <w:widowControl w:val="0"/>
        <w:kinsoku/>
        <w:wordWrap/>
        <w:overflowPunct/>
        <w:topLinePunct w:val="0"/>
        <w:autoSpaceDE/>
        <w:autoSpaceDN/>
        <w:bidi w:val="0"/>
        <w:adjustRightInd/>
        <w:snapToGrid/>
        <w:spacing w:line="600" w:lineRule="exact"/>
        <w:textAlignment w:val="auto"/>
        <w:outlineLvl w:val="1"/>
        <w:rPr>
          <w:rFonts w:hint="default"/>
        </w:rPr>
      </w:pPr>
      <w:r>
        <w:rPr>
          <w:rFonts w:hint="eastAsia" w:ascii="方正黑体_GBK" w:hAnsi="方正黑体_GBK" w:eastAsia="方正黑体_GBK" w:cs="方正黑体_GBK"/>
          <w:b w:val="0"/>
          <w:bCs/>
          <w:kern w:val="0"/>
          <w:sz w:val="32"/>
          <w:szCs w:val="32"/>
          <w:lang w:val="en-US" w:eastAsia="zh-CN"/>
        </w:rPr>
        <w:t>五</w:t>
      </w:r>
      <w:r>
        <w:rPr>
          <w:rFonts w:hint="eastAsia" w:ascii="方正黑体_GBK" w:hAnsi="方正黑体_GBK" w:eastAsia="方正黑体_GBK" w:cs="方正黑体_GBK"/>
          <w:b w:val="0"/>
          <w:bCs/>
          <w:kern w:val="0"/>
          <w:sz w:val="32"/>
          <w:szCs w:val="32"/>
        </w:rPr>
        <w:t>、</w:t>
      </w:r>
      <w:r>
        <w:rPr>
          <w:rFonts w:hint="eastAsia" w:ascii="方正黑体_GBK" w:hAnsi="方正黑体_GBK" w:eastAsia="方正黑体_GBK" w:cs="方正黑体_GBK"/>
          <w:b w:val="0"/>
          <w:bCs/>
          <w:sz w:val="32"/>
          <w:szCs w:val="32"/>
        </w:rPr>
        <w:t>证明服务的合格性和符合文件规定的文件</w:t>
      </w:r>
    </w:p>
    <w:p w14:paraId="142F3848">
      <w:pPr>
        <w:pStyle w:val="31"/>
        <w:keepNext w:val="0"/>
        <w:keepLines w:val="0"/>
        <w:pageBreakBefore w:val="0"/>
        <w:widowControl w:val="0"/>
        <w:tabs>
          <w:tab w:val="right" w:leader="dot" w:pos="9638"/>
        </w:tabs>
        <w:kinsoku/>
        <w:wordWrap/>
        <w:overflowPunct/>
        <w:topLinePunct w:val="0"/>
        <w:autoSpaceDE/>
        <w:autoSpaceDN/>
        <w:bidi w:val="0"/>
        <w:adjustRightInd/>
        <w:snapToGrid/>
        <w:spacing w:line="600" w:lineRule="exact"/>
        <w:ind w:left="0" w:lef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_Toc15318 </w:instrText>
      </w:r>
      <w:r>
        <w:rPr>
          <w:rFonts w:hint="default" w:ascii="Times New Roman" w:hAnsi="Times New Roman" w:eastAsia="方正仿宋_GBK" w:cs="Times New Roman"/>
          <w:bCs w:val="0"/>
          <w:caps w:val="0"/>
          <w:sz w:val="32"/>
          <w:szCs w:val="32"/>
        </w:rPr>
        <w:fldChar w:fldCharType="separate"/>
      </w:r>
      <w:r>
        <w:rPr>
          <w:rFonts w:hint="eastAsia" w:eastAsia="方正仿宋_GBK" w:cs="Times New Roman"/>
          <w:kern w:val="0"/>
          <w:sz w:val="32"/>
          <w:szCs w:val="32"/>
          <w:lang w:val="en-US" w:eastAsia="zh-CN"/>
        </w:rPr>
        <w:t>六</w:t>
      </w:r>
      <w:r>
        <w:rPr>
          <w:rFonts w:hint="default" w:ascii="Times New Roman" w:hAnsi="Times New Roman" w:eastAsia="方正仿宋_GBK" w:cs="Times New Roman"/>
          <w:kern w:val="0"/>
          <w:sz w:val="32"/>
          <w:szCs w:val="32"/>
        </w:rPr>
        <w:t>、项目售后服务承诺</w:t>
      </w:r>
      <w:r>
        <w:rPr>
          <w:rFonts w:hint="default" w:ascii="Times New Roman" w:hAnsi="Times New Roman" w:eastAsia="方正仿宋_GBK" w:cs="Times New Roman"/>
          <w:bCs w:val="0"/>
          <w:caps w:val="0"/>
          <w:sz w:val="32"/>
          <w:szCs w:val="32"/>
        </w:rPr>
        <w:fldChar w:fldCharType="end"/>
      </w:r>
    </w:p>
    <w:p w14:paraId="741F62C0">
      <w:pPr>
        <w:pStyle w:val="31"/>
        <w:keepNext w:val="0"/>
        <w:keepLines w:val="0"/>
        <w:pageBreakBefore w:val="0"/>
        <w:widowControl w:val="0"/>
        <w:tabs>
          <w:tab w:val="right" w:leader="dot" w:pos="9638"/>
        </w:tabs>
        <w:kinsoku/>
        <w:wordWrap/>
        <w:overflowPunct/>
        <w:topLinePunct w:val="0"/>
        <w:autoSpaceDE/>
        <w:autoSpaceDN/>
        <w:bidi w:val="0"/>
        <w:adjustRightInd/>
        <w:snapToGrid/>
        <w:spacing w:line="600" w:lineRule="exact"/>
        <w:ind w:left="0" w:lef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_Toc16834 </w:instrText>
      </w:r>
      <w:r>
        <w:rPr>
          <w:rFonts w:hint="default" w:ascii="Times New Roman" w:hAnsi="Times New Roman" w:eastAsia="方正仿宋_GBK" w:cs="Times New Roman"/>
          <w:bCs w:val="0"/>
          <w:caps w:val="0"/>
          <w:sz w:val="32"/>
          <w:szCs w:val="32"/>
        </w:rPr>
        <w:fldChar w:fldCharType="separate"/>
      </w:r>
      <w:r>
        <w:rPr>
          <w:rFonts w:hint="eastAsia" w:eastAsia="方正仿宋_GBK" w:cs="Times New Roman"/>
          <w:bCs w:val="0"/>
          <w:caps w:val="0"/>
          <w:sz w:val="32"/>
          <w:szCs w:val="32"/>
          <w:lang w:val="en-US" w:eastAsia="zh-CN"/>
        </w:rPr>
        <w:t>七</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供应商资质和资信证明文件</w:t>
      </w:r>
      <w:r>
        <w:rPr>
          <w:rFonts w:hint="default" w:ascii="Times New Roman" w:hAnsi="Times New Roman" w:eastAsia="方正仿宋_GBK" w:cs="Times New Roman"/>
          <w:bCs w:val="0"/>
          <w:caps w:val="0"/>
          <w:sz w:val="32"/>
          <w:szCs w:val="32"/>
        </w:rPr>
        <w:fldChar w:fldCharType="end"/>
      </w:r>
    </w:p>
    <w:p w14:paraId="06A95FED">
      <w:pPr>
        <w:pStyle w:val="31"/>
        <w:keepNext w:val="0"/>
        <w:keepLines w:val="0"/>
        <w:pageBreakBefore w:val="0"/>
        <w:widowControl w:val="0"/>
        <w:tabs>
          <w:tab w:val="right" w:leader="dot" w:pos="9638"/>
        </w:tabs>
        <w:kinsoku/>
        <w:wordWrap/>
        <w:overflowPunct/>
        <w:topLinePunct w:val="0"/>
        <w:autoSpaceDE/>
        <w:autoSpaceDN/>
        <w:bidi w:val="0"/>
        <w:adjustRightInd/>
        <w:snapToGrid/>
        <w:spacing w:line="600" w:lineRule="exact"/>
        <w:ind w:left="0" w:lef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_Toc15815 </w:instrText>
      </w:r>
      <w:r>
        <w:rPr>
          <w:rFonts w:hint="default" w:ascii="Times New Roman" w:hAnsi="Times New Roman" w:eastAsia="方正仿宋_GBK" w:cs="Times New Roman"/>
          <w:bCs w:val="0"/>
          <w:caps w:val="0"/>
          <w:sz w:val="32"/>
          <w:szCs w:val="32"/>
        </w:rPr>
        <w:fldChar w:fldCharType="separate"/>
      </w:r>
      <w:r>
        <w:rPr>
          <w:rFonts w:hint="eastAsia" w:eastAsia="方正仿宋_GBK" w:cs="Times New Roman"/>
          <w:bCs w:val="0"/>
          <w:caps w:val="0"/>
          <w:sz w:val="32"/>
          <w:szCs w:val="32"/>
          <w:lang w:val="en-US" w:eastAsia="zh-CN"/>
        </w:rPr>
        <w:t>八</w:t>
      </w:r>
      <w:r>
        <w:rPr>
          <w:rFonts w:hint="default" w:ascii="Times New Roman" w:hAnsi="Times New Roman" w:eastAsia="方正仿宋_GBK" w:cs="Times New Roman"/>
          <w:sz w:val="32"/>
          <w:szCs w:val="32"/>
        </w:rPr>
        <w:t>、其他资料</w:t>
      </w:r>
      <w:r>
        <w:rPr>
          <w:rFonts w:hint="default" w:ascii="Times New Roman" w:hAnsi="Times New Roman" w:eastAsia="方正仿宋_GBK" w:cs="Times New Roman"/>
          <w:bCs w:val="0"/>
          <w:caps w:val="0"/>
          <w:sz w:val="32"/>
          <w:szCs w:val="32"/>
        </w:rPr>
        <w:fldChar w:fldCharType="end"/>
      </w:r>
    </w:p>
    <w:p w14:paraId="02A259EE">
      <w:pPr>
        <w:pStyle w:val="31"/>
        <w:keepNext w:val="0"/>
        <w:keepLines w:val="0"/>
        <w:pageBreakBefore w:val="0"/>
        <w:widowControl w:val="0"/>
        <w:tabs>
          <w:tab w:val="right" w:leader="dot" w:pos="9638"/>
        </w:tabs>
        <w:kinsoku/>
        <w:wordWrap/>
        <w:overflowPunct/>
        <w:topLinePunct w:val="0"/>
        <w:autoSpaceDE/>
        <w:autoSpaceDN/>
        <w:bidi w:val="0"/>
        <w:adjustRightInd/>
        <w:snapToGrid/>
        <w:spacing w:line="600" w:lineRule="exact"/>
        <w:ind w:left="0" w:lef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_Toc15180 </w:instrText>
      </w:r>
      <w:r>
        <w:rPr>
          <w:rFonts w:hint="default" w:ascii="Times New Roman" w:hAnsi="Times New Roman" w:eastAsia="方正仿宋_GBK" w:cs="Times New Roman"/>
          <w:bCs w:val="0"/>
          <w:caps w:val="0"/>
          <w:sz w:val="32"/>
          <w:szCs w:val="32"/>
        </w:rPr>
        <w:fldChar w:fldCharType="separate"/>
      </w:r>
      <w:r>
        <w:rPr>
          <w:rFonts w:hint="default" w:ascii="Times New Roman" w:hAnsi="Times New Roman" w:eastAsia="方正仿宋_GBK" w:cs="Times New Roman"/>
          <w:bCs/>
          <w:sz w:val="32"/>
          <w:szCs w:val="32"/>
        </w:rPr>
        <w:t>法定代表人授权委托书（样式）</w:t>
      </w:r>
      <w:r>
        <w:rPr>
          <w:rFonts w:hint="default" w:ascii="Times New Roman" w:hAnsi="Times New Roman" w:eastAsia="方正仿宋_GBK" w:cs="Times New Roman"/>
          <w:bCs w:val="0"/>
          <w:caps w:val="0"/>
          <w:sz w:val="32"/>
          <w:szCs w:val="32"/>
        </w:rPr>
        <w:fldChar w:fldCharType="end"/>
      </w:r>
    </w:p>
    <w:p w14:paraId="5481FE1B">
      <w:pPr>
        <w:pStyle w:val="31"/>
        <w:keepNext w:val="0"/>
        <w:keepLines w:val="0"/>
        <w:pageBreakBefore w:val="0"/>
        <w:widowControl w:val="0"/>
        <w:tabs>
          <w:tab w:val="right" w:leader="dot" w:pos="9638"/>
        </w:tabs>
        <w:kinsoku/>
        <w:wordWrap/>
        <w:overflowPunct/>
        <w:topLinePunct w:val="0"/>
        <w:autoSpaceDE/>
        <w:autoSpaceDN/>
        <w:bidi w:val="0"/>
        <w:adjustRightInd/>
        <w:snapToGrid/>
        <w:spacing w:line="600" w:lineRule="exact"/>
        <w:ind w:left="0" w:leftChars="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_Toc23862 </w:instrText>
      </w:r>
      <w:r>
        <w:rPr>
          <w:rFonts w:hint="default" w:ascii="Times New Roman" w:hAnsi="Times New Roman" w:eastAsia="方正仿宋_GBK" w:cs="Times New Roman"/>
          <w:bCs w:val="0"/>
          <w:caps w:val="0"/>
          <w:sz w:val="32"/>
          <w:szCs w:val="32"/>
        </w:rPr>
        <w:fldChar w:fldCharType="separate"/>
      </w:r>
      <w:r>
        <w:rPr>
          <w:rFonts w:hint="default" w:ascii="Times New Roman" w:hAnsi="Times New Roman" w:eastAsia="方正仿宋_GBK" w:cs="Times New Roman"/>
          <w:bCs/>
          <w:sz w:val="32"/>
          <w:szCs w:val="32"/>
        </w:rPr>
        <w:t>法定代表人资格证明（样式）</w:t>
      </w:r>
      <w:r>
        <w:rPr>
          <w:rFonts w:hint="default" w:ascii="Times New Roman" w:hAnsi="Times New Roman" w:eastAsia="方正仿宋_GBK" w:cs="Times New Roman"/>
          <w:bCs w:val="0"/>
          <w:caps w:val="0"/>
          <w:sz w:val="32"/>
          <w:szCs w:val="32"/>
        </w:rPr>
        <w:fldChar w:fldCharType="end"/>
      </w:r>
    </w:p>
    <w:p w14:paraId="178B220C">
      <w:pPr>
        <w:pStyle w:val="31"/>
        <w:keepNext w:val="0"/>
        <w:keepLines w:val="0"/>
        <w:pageBreakBefore w:val="0"/>
        <w:widowControl w:val="0"/>
        <w:tabs>
          <w:tab w:val="right" w:leader="dot" w:pos="9638"/>
        </w:tabs>
        <w:kinsoku/>
        <w:wordWrap/>
        <w:overflowPunct/>
        <w:topLinePunct w:val="0"/>
        <w:autoSpaceDE/>
        <w:autoSpaceDN/>
        <w:bidi w:val="0"/>
        <w:adjustRightInd/>
        <w:snapToGrid/>
        <w:spacing w:line="600" w:lineRule="exact"/>
        <w:ind w:left="0" w:leftChars="0"/>
        <w:textAlignment w:val="auto"/>
        <w:rPr>
          <w:rFonts w:hint="default" w:eastAsia="方正仿宋_GBK"/>
          <w:sz w:val="22"/>
          <w:szCs w:val="21"/>
          <w:lang w:val="en-US" w:eastAsia="zh-CN"/>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_Toc6778 </w:instrText>
      </w:r>
      <w:r>
        <w:rPr>
          <w:rFonts w:hint="default" w:ascii="Times New Roman" w:hAnsi="Times New Roman" w:eastAsia="方正仿宋_GBK" w:cs="Times New Roman"/>
          <w:bCs w:val="0"/>
          <w:caps w:val="0"/>
          <w:sz w:val="32"/>
          <w:szCs w:val="32"/>
        </w:rPr>
        <w:fldChar w:fldCharType="separate"/>
      </w:r>
      <w:r>
        <w:rPr>
          <w:rFonts w:hint="default" w:ascii="Times New Roman" w:hAnsi="Times New Roman" w:eastAsia="方正仿宋_GBK" w:cs="Times New Roman"/>
          <w:bCs/>
          <w:sz w:val="32"/>
          <w:szCs w:val="32"/>
        </w:rPr>
        <w:t>中小企业声明函（工程、服务）</w:t>
      </w:r>
      <w:r>
        <w:rPr>
          <w:rFonts w:hint="eastAsia" w:eastAsia="方正仿宋_GBK" w:cs="Times New Roman"/>
          <w:bCs/>
          <w:sz w:val="32"/>
          <w:szCs w:val="32"/>
          <w:lang w:val="en-US" w:eastAsia="zh-CN"/>
        </w:rPr>
        <w:t>样式</w:t>
      </w:r>
      <w:r>
        <w:rPr>
          <w:rFonts w:hint="default" w:ascii="Times New Roman" w:hAnsi="Times New Roman" w:eastAsia="方正仿宋_GBK" w:cs="Times New Roman"/>
          <w:bCs w:val="0"/>
          <w:caps w:val="0"/>
          <w:sz w:val="32"/>
          <w:szCs w:val="32"/>
        </w:rPr>
        <w:fldChar w:fldCharType="end"/>
      </w:r>
    </w:p>
    <w:p w14:paraId="1B8E4CC1">
      <w:pPr>
        <w:pStyle w:val="28"/>
        <w:tabs>
          <w:tab w:val="right" w:leader="dot" w:pos="10467"/>
        </w:tabs>
        <w:spacing w:before="0" w:line="288" w:lineRule="auto"/>
        <w:rPr>
          <w:rFonts w:hint="eastAsia" w:ascii="仿宋" w:hAnsi="仿宋" w:eastAsia="仿宋" w:cs="仿宋"/>
          <w:sz w:val="24"/>
          <w:szCs w:val="24"/>
        </w:rPr>
        <w:sectPr>
          <w:headerReference r:id="rId8" w:type="first"/>
          <w:footerReference r:id="rId10" w:type="first"/>
          <w:footerReference r:id="rId9" w:type="default"/>
          <w:pgSz w:w="11906" w:h="16838"/>
          <w:pgMar w:top="1134" w:right="1134" w:bottom="1134" w:left="1134" w:header="1020" w:footer="567" w:gutter="0"/>
          <w:pgNumType w:start="1"/>
          <w:cols w:space="720" w:num="1"/>
          <w:titlePg/>
          <w:docGrid w:linePitch="312" w:charSpace="0"/>
        </w:sectPr>
      </w:pPr>
      <w:r>
        <w:rPr>
          <w:rFonts w:hint="eastAsia" w:ascii="仿宋" w:hAnsi="仿宋" w:eastAsia="仿宋" w:cs="仿宋"/>
          <w:bCs w:val="0"/>
          <w:caps w:val="0"/>
          <w:sz w:val="28"/>
          <w:szCs w:val="28"/>
        </w:rPr>
        <w:fldChar w:fldCharType="end"/>
      </w:r>
    </w:p>
    <w:p w14:paraId="0E8DC4A8">
      <w:pPr>
        <w:pStyle w:val="21"/>
      </w:pPr>
    </w:p>
    <w:p w14:paraId="7E714A20">
      <w:pPr>
        <w:pStyle w:val="21"/>
        <w:keepNext w:val="0"/>
        <w:keepLines w:val="0"/>
        <w:pageBreakBefore w:val="0"/>
        <w:widowControl w:val="0"/>
        <w:kinsoku/>
        <w:wordWrap/>
        <w:overflowPunct/>
        <w:topLinePunct w:val="0"/>
        <w:autoSpaceDE/>
        <w:autoSpaceDN/>
        <w:bidi w:val="0"/>
        <w:adjustRightInd/>
        <w:snapToGrid/>
        <w:spacing w:line="720" w:lineRule="exact"/>
        <w:ind w:left="0" w:leftChars="0" w:right="0" w:firstLine="0" w:firstLineChars="0"/>
        <w:jc w:val="center"/>
        <w:textAlignment w:val="auto"/>
        <w:outlineLvl w:val="0"/>
        <w:rPr>
          <w:rFonts w:hint="eastAsia" w:ascii="方正黑体_GBK" w:hAnsi="方正黑体_GBK" w:eastAsia="方正黑体_GBK" w:cs="方正黑体_GBK"/>
          <w:b w:val="0"/>
          <w:bCs/>
          <w:sz w:val="32"/>
          <w:szCs w:val="32"/>
        </w:rPr>
      </w:pPr>
      <w:bookmarkStart w:id="0" w:name="_Toc17675"/>
      <w:bookmarkStart w:id="1" w:name="_Toc7211"/>
      <w:r>
        <w:rPr>
          <w:rFonts w:hint="eastAsia" w:ascii="方正小标宋_GBK" w:hAnsi="方正小标宋_GBK" w:eastAsia="方正小标宋_GBK" w:cs="方正小标宋_GBK"/>
          <w:b w:val="0"/>
          <w:bCs/>
          <w:sz w:val="44"/>
          <w:szCs w:val="44"/>
        </w:rPr>
        <w:t>第一章  邀请书</w:t>
      </w:r>
      <w:bookmarkEnd w:id="0"/>
      <w:bookmarkEnd w:id="1"/>
    </w:p>
    <w:p w14:paraId="4586DE67">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曲靖市</w:t>
      </w:r>
      <w:r>
        <w:rPr>
          <w:rFonts w:hint="default" w:ascii="Times New Roman" w:hAnsi="Times New Roman" w:eastAsia="方正仿宋_GBK" w:cs="Times New Roman"/>
          <w:b w:val="0"/>
          <w:bCs/>
          <w:sz w:val="32"/>
          <w:szCs w:val="32"/>
          <w:lang w:eastAsia="zh-CN"/>
        </w:rPr>
        <w:t>财政局</w:t>
      </w:r>
      <w:r>
        <w:rPr>
          <w:rFonts w:hint="default" w:ascii="Times New Roman" w:hAnsi="Times New Roman" w:eastAsia="方正仿宋_GBK" w:cs="Times New Roman"/>
          <w:b w:val="0"/>
          <w:bCs/>
          <w:sz w:val="32"/>
          <w:szCs w:val="32"/>
        </w:rPr>
        <w:t>根据公布的本年度政府采购目录，对</w:t>
      </w:r>
      <w:r>
        <w:rPr>
          <w:rFonts w:hint="default" w:ascii="Times New Roman" w:hAnsi="Times New Roman" w:eastAsia="方正仿宋_GBK" w:cs="Times New Roman"/>
          <w:b w:val="0"/>
          <w:bCs/>
          <w:sz w:val="32"/>
          <w:szCs w:val="32"/>
          <w:lang w:val="en-US" w:eastAsia="zh-CN"/>
        </w:rPr>
        <w:t>曲靖政府采购电子交易系统项目</w:t>
      </w:r>
      <w:r>
        <w:rPr>
          <w:rFonts w:hint="default" w:ascii="Times New Roman" w:hAnsi="Times New Roman" w:eastAsia="方正仿宋_GBK" w:cs="Times New Roman"/>
          <w:b w:val="0"/>
          <w:bCs/>
          <w:sz w:val="32"/>
          <w:szCs w:val="32"/>
        </w:rPr>
        <w:t>进行竞争性采购，欢迎你公司参加。</w:t>
      </w:r>
    </w:p>
    <w:p w14:paraId="3141D422">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val="en-US" w:eastAsia="zh-CN"/>
        </w:rPr>
        <w:t>.</w:t>
      </w:r>
      <w:r>
        <w:rPr>
          <w:rFonts w:hint="default" w:ascii="Times New Roman" w:hAnsi="Times New Roman" w:eastAsia="方正仿宋_GBK" w:cs="Times New Roman"/>
          <w:b w:val="0"/>
          <w:bCs/>
          <w:sz w:val="32"/>
          <w:szCs w:val="32"/>
        </w:rPr>
        <w:t xml:space="preserve">采购编号： </w:t>
      </w:r>
      <w:r>
        <w:rPr>
          <w:rFonts w:hint="eastAsia" w:ascii="仿宋" w:hAnsi="仿宋" w:eastAsia="仿宋" w:cs="仿宋"/>
          <w:sz w:val="32"/>
          <w:szCs w:val="32"/>
        </w:rPr>
        <w:t>QJ</w:t>
      </w:r>
      <w:r>
        <w:rPr>
          <w:rFonts w:hint="eastAsia" w:ascii="仿宋" w:hAnsi="仿宋" w:eastAsia="仿宋" w:cs="仿宋"/>
          <w:sz w:val="32"/>
          <w:szCs w:val="32"/>
          <w:lang w:val="en-US" w:eastAsia="zh-CN"/>
        </w:rPr>
        <w:t>CZ</w:t>
      </w:r>
      <w:r>
        <w:rPr>
          <w:rFonts w:hint="eastAsia" w:ascii="仿宋" w:hAnsi="仿宋" w:eastAsia="仿宋" w:cs="仿宋"/>
          <w:sz w:val="32"/>
          <w:szCs w:val="32"/>
        </w:rPr>
        <w:t>-</w:t>
      </w:r>
      <w:r>
        <w:rPr>
          <w:rFonts w:hint="eastAsia" w:ascii="仿宋" w:hAnsi="仿宋" w:eastAsia="仿宋" w:cs="仿宋"/>
          <w:sz w:val="32"/>
          <w:szCs w:val="32"/>
          <w:lang w:val="en-US" w:eastAsia="zh-CN"/>
        </w:rPr>
        <w:t>JZX</w:t>
      </w:r>
      <w:r>
        <w:rPr>
          <w:rFonts w:hint="eastAsia" w:ascii="仿宋" w:hAnsi="仿宋" w:eastAsia="仿宋" w:cs="仿宋"/>
          <w:sz w:val="32"/>
          <w:szCs w:val="32"/>
        </w:rPr>
        <w:t>CS20</w:t>
      </w:r>
      <w:r>
        <w:rPr>
          <w:rFonts w:hint="default" w:ascii="仿宋" w:hAnsi="仿宋" w:eastAsia="仿宋" w:cs="仿宋"/>
          <w:sz w:val="32"/>
          <w:szCs w:val="32"/>
          <w:lang w:val="en" w:eastAsia="zh-CN"/>
        </w:rPr>
        <w:t>2301</w:t>
      </w:r>
      <w:r>
        <w:rPr>
          <w:rFonts w:hint="default" w:ascii="Times New Roman" w:hAnsi="Times New Roman" w:eastAsia="方正仿宋_GBK" w:cs="Times New Roman"/>
          <w:b w:val="0"/>
          <w:bCs/>
          <w:sz w:val="32"/>
          <w:szCs w:val="32"/>
        </w:rPr>
        <w:t xml:space="preserve">                                                                                                                                                                                                                                                                                                                                                                                                                                                                                                                                                                                                                                                                                                                                                                                                                                                                                                                                                                                                                                                   </w:t>
      </w:r>
    </w:p>
    <w:p w14:paraId="36A876E8">
      <w:pPr>
        <w:pStyle w:val="21"/>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2</w:t>
      </w:r>
      <w:r>
        <w:rPr>
          <w:rFonts w:hint="default" w:ascii="Times New Roman" w:hAnsi="Times New Roman" w:eastAsia="方正仿宋_GBK" w:cs="Times New Roman"/>
          <w:b w:val="0"/>
          <w:bCs/>
          <w:sz w:val="32"/>
          <w:szCs w:val="32"/>
          <w:lang w:val="en-US" w:eastAsia="zh-CN"/>
        </w:rPr>
        <w:t>.</w:t>
      </w:r>
      <w:r>
        <w:rPr>
          <w:rFonts w:hint="default" w:ascii="Times New Roman" w:hAnsi="Times New Roman" w:eastAsia="方正仿宋_GBK" w:cs="Times New Roman"/>
          <w:b w:val="0"/>
          <w:bCs/>
          <w:sz w:val="32"/>
          <w:szCs w:val="32"/>
        </w:rPr>
        <w:t>采购项目名称：</w:t>
      </w:r>
      <w:r>
        <w:rPr>
          <w:rFonts w:hint="default" w:ascii="Times New Roman" w:hAnsi="Times New Roman" w:eastAsia="方正仿宋_GBK" w:cs="Times New Roman"/>
          <w:b w:val="0"/>
          <w:bCs/>
          <w:sz w:val="32"/>
          <w:szCs w:val="32"/>
          <w:lang w:val="en-US" w:eastAsia="zh-CN"/>
        </w:rPr>
        <w:t>曲靖政府采购电子交易系统项目</w:t>
      </w:r>
    </w:p>
    <w:p w14:paraId="7238C65E">
      <w:pPr>
        <w:pStyle w:val="21"/>
        <w:keepNext w:val="0"/>
        <w:keepLines w:val="0"/>
        <w:pageBreakBefore w:val="0"/>
        <w:widowControl w:val="0"/>
        <w:numPr>
          <w:ilvl w:val="0"/>
          <w:numId w:val="0"/>
        </w:numPr>
        <w:tabs>
          <w:tab w:val="left" w:pos="1261"/>
          <w:tab w:val="center" w:pos="4995"/>
        </w:tabs>
        <w:kinsoku/>
        <w:wordWrap/>
        <w:overflowPunct/>
        <w:topLinePunct w:val="0"/>
        <w:autoSpaceDE/>
        <w:autoSpaceDN/>
        <w:bidi w:val="0"/>
        <w:adjustRightInd/>
        <w:snapToGrid/>
        <w:spacing w:line="720" w:lineRule="exact"/>
        <w:ind w:leftChars="0"/>
        <w:jc w:val="center"/>
        <w:textAlignment w:val="auto"/>
        <w:outlineLvl w:val="0"/>
        <w:rPr>
          <w:rFonts w:hint="eastAsia"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3</w:t>
      </w:r>
      <w:r>
        <w:rPr>
          <w:rFonts w:hint="default" w:ascii="Times New Roman" w:hAnsi="Times New Roman" w:eastAsia="方正仿宋_GBK" w:cs="Times New Roman"/>
          <w:b w:val="0"/>
          <w:bCs/>
          <w:sz w:val="32"/>
          <w:szCs w:val="32"/>
          <w:lang w:val="en-US" w:eastAsia="zh-CN"/>
        </w:rPr>
        <w:t>.</w:t>
      </w:r>
      <w:r>
        <w:rPr>
          <w:rFonts w:hint="default" w:ascii="Times New Roman" w:hAnsi="Times New Roman" w:eastAsia="方正仿宋_GBK" w:cs="Times New Roman"/>
          <w:b w:val="0"/>
          <w:bCs/>
          <w:sz w:val="32"/>
          <w:szCs w:val="32"/>
        </w:rPr>
        <w:t>项目具体要求：见</w:t>
      </w:r>
      <w:r>
        <w:rPr>
          <w:rFonts w:hint="eastAsia" w:ascii="Times New Roman" w:hAnsi="Times New Roman" w:eastAsia="方正仿宋_GBK" w:cs="Times New Roman"/>
          <w:b w:val="0"/>
          <w:bCs/>
          <w:sz w:val="32"/>
          <w:szCs w:val="32"/>
          <w:lang w:eastAsia="zh-CN"/>
        </w:rPr>
        <w:t>“</w:t>
      </w:r>
      <w:r>
        <w:rPr>
          <w:rFonts w:hint="eastAsia" w:ascii="方正小标宋_GBK" w:hAnsi="方正小标宋_GBK" w:eastAsia="方正小标宋_GBK" w:cs="方正小标宋_GBK"/>
          <w:b w:val="0"/>
          <w:bCs/>
          <w:sz w:val="32"/>
          <w:szCs w:val="32"/>
          <w:lang w:val="en-US" w:eastAsia="zh-CN"/>
        </w:rPr>
        <w:t>曲靖政府采购电子交易系统项目需求</w:t>
      </w:r>
      <w:r>
        <w:rPr>
          <w:rFonts w:hint="eastAsia" w:ascii="Times New Roman" w:hAnsi="Times New Roman" w:eastAsia="方正仿宋_GBK" w:cs="Times New Roman"/>
          <w:b w:val="0"/>
          <w:bCs/>
          <w:sz w:val="32"/>
          <w:szCs w:val="32"/>
          <w:lang w:eastAsia="zh-CN"/>
        </w:rPr>
        <w:t>”</w:t>
      </w:r>
    </w:p>
    <w:p w14:paraId="2B3E4104">
      <w:pPr>
        <w:pStyle w:val="21"/>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rPr>
        <w:t>4</w:t>
      </w:r>
      <w:r>
        <w:rPr>
          <w:rFonts w:hint="default" w:ascii="Times New Roman" w:hAnsi="Times New Roman" w:eastAsia="方正仿宋_GBK" w:cs="Times New Roman"/>
          <w:b w:val="0"/>
          <w:bCs/>
          <w:color w:val="auto"/>
          <w:sz w:val="32"/>
          <w:szCs w:val="32"/>
          <w:lang w:val="en-US" w:eastAsia="zh-CN"/>
        </w:rPr>
        <w:t>.</w:t>
      </w:r>
      <w:r>
        <w:rPr>
          <w:rFonts w:hint="default" w:ascii="Times New Roman" w:hAnsi="Times New Roman" w:eastAsia="方正仿宋_GBK" w:cs="Times New Roman"/>
          <w:b w:val="0"/>
          <w:bCs/>
          <w:color w:val="auto"/>
          <w:sz w:val="32"/>
          <w:szCs w:val="32"/>
        </w:rPr>
        <w:t xml:space="preserve">文件领取方式及时间：见公告 </w:t>
      </w:r>
    </w:p>
    <w:p w14:paraId="6EB5E05B">
      <w:pPr>
        <w:pStyle w:val="21"/>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rPr>
        <w:t>5</w:t>
      </w:r>
      <w:r>
        <w:rPr>
          <w:rFonts w:hint="default" w:ascii="Times New Roman" w:hAnsi="Times New Roman" w:eastAsia="方正仿宋_GBK" w:cs="Times New Roman"/>
          <w:b w:val="0"/>
          <w:bCs/>
          <w:color w:val="auto"/>
          <w:sz w:val="32"/>
          <w:szCs w:val="32"/>
          <w:lang w:val="en-US" w:eastAsia="zh-CN"/>
        </w:rPr>
        <w:t>.</w:t>
      </w:r>
      <w:r>
        <w:rPr>
          <w:rFonts w:hint="default" w:ascii="Times New Roman" w:hAnsi="Times New Roman" w:eastAsia="方正仿宋_GBK" w:cs="Times New Roman"/>
          <w:b w:val="0"/>
          <w:bCs/>
          <w:color w:val="auto"/>
          <w:sz w:val="32"/>
          <w:szCs w:val="32"/>
        </w:rPr>
        <w:t>响应文件递交截止时间：20</w:t>
      </w:r>
      <w:r>
        <w:rPr>
          <w:rFonts w:hint="default" w:ascii="Times New Roman" w:hAnsi="Times New Roman" w:eastAsia="方正仿宋_GBK" w:cs="Times New Roman"/>
          <w:b w:val="0"/>
          <w:bCs/>
          <w:color w:val="auto"/>
          <w:sz w:val="32"/>
          <w:szCs w:val="32"/>
          <w:lang w:val="en-US" w:eastAsia="zh-CN"/>
        </w:rPr>
        <w:t>23</w:t>
      </w:r>
      <w:r>
        <w:rPr>
          <w:rFonts w:hint="default" w:ascii="Times New Roman" w:hAnsi="Times New Roman" w:eastAsia="方正仿宋_GBK" w:cs="Times New Roman"/>
          <w:b w:val="0"/>
          <w:bCs/>
          <w:color w:val="auto"/>
          <w:sz w:val="32"/>
          <w:szCs w:val="32"/>
        </w:rPr>
        <w:t>年</w:t>
      </w:r>
      <w:r>
        <w:rPr>
          <w:rFonts w:hint="default" w:ascii="Times New Roman" w:hAnsi="Times New Roman" w:eastAsia="方正仿宋_GBK" w:cs="Times New Roman"/>
          <w:b w:val="0"/>
          <w:bCs/>
          <w:color w:val="auto"/>
          <w:sz w:val="32"/>
          <w:szCs w:val="32"/>
          <w:lang w:val="en-US" w:eastAsia="zh-CN"/>
        </w:rPr>
        <w:t>3</w:t>
      </w:r>
      <w:r>
        <w:rPr>
          <w:rFonts w:hint="default" w:ascii="Times New Roman" w:hAnsi="Times New Roman" w:eastAsia="方正仿宋_GBK" w:cs="Times New Roman"/>
          <w:b w:val="0"/>
          <w:bCs/>
          <w:color w:val="auto"/>
          <w:sz w:val="32"/>
          <w:szCs w:val="32"/>
        </w:rPr>
        <w:t>月</w:t>
      </w:r>
      <w:r>
        <w:rPr>
          <w:rFonts w:hint="default" w:ascii="Times New Roman" w:hAnsi="Times New Roman" w:eastAsia="方正仿宋_GBK" w:cs="Times New Roman"/>
          <w:b w:val="0"/>
          <w:bCs/>
          <w:color w:val="auto"/>
          <w:sz w:val="32"/>
          <w:szCs w:val="32"/>
          <w:lang w:val="en-US" w:eastAsia="zh-CN"/>
        </w:rPr>
        <w:t>27</w:t>
      </w:r>
      <w:r>
        <w:rPr>
          <w:rFonts w:hint="default" w:ascii="Times New Roman" w:hAnsi="Times New Roman" w:eastAsia="方正仿宋_GBK" w:cs="Times New Roman"/>
          <w:b w:val="0"/>
          <w:bCs/>
          <w:color w:val="auto"/>
          <w:sz w:val="32"/>
          <w:szCs w:val="32"/>
        </w:rPr>
        <w:t>日</w:t>
      </w:r>
      <w:r>
        <w:rPr>
          <w:rFonts w:hint="default" w:ascii="Times New Roman" w:hAnsi="Times New Roman" w:eastAsia="方正仿宋_GBK" w:cs="Times New Roman"/>
          <w:b w:val="0"/>
          <w:bCs/>
          <w:color w:val="auto"/>
          <w:sz w:val="32"/>
          <w:szCs w:val="32"/>
          <w:lang w:val="en-US" w:eastAsia="zh-CN"/>
        </w:rPr>
        <w:t>15</w:t>
      </w:r>
      <w:r>
        <w:rPr>
          <w:rFonts w:hint="default" w:ascii="Times New Roman" w:hAnsi="Times New Roman" w:eastAsia="方正仿宋_GBK" w:cs="Times New Roman"/>
          <w:b w:val="0"/>
          <w:bCs/>
          <w:color w:val="auto"/>
          <w:sz w:val="32"/>
          <w:szCs w:val="32"/>
        </w:rPr>
        <w:t>:</w:t>
      </w:r>
      <w:r>
        <w:rPr>
          <w:rFonts w:hint="default" w:ascii="Times New Roman" w:hAnsi="Times New Roman" w:eastAsia="方正仿宋_GBK" w:cs="Times New Roman"/>
          <w:b w:val="0"/>
          <w:bCs/>
          <w:color w:val="auto"/>
          <w:sz w:val="32"/>
          <w:szCs w:val="32"/>
          <w:lang w:val="en-US" w:eastAsia="zh-CN"/>
        </w:rPr>
        <w:t>00</w:t>
      </w:r>
      <w:r>
        <w:rPr>
          <w:rFonts w:hint="default" w:ascii="Times New Roman" w:hAnsi="Times New Roman" w:eastAsia="方正仿宋_GBK" w:cs="Times New Roman"/>
          <w:b w:val="0"/>
          <w:bCs/>
          <w:color w:val="auto"/>
          <w:sz w:val="32"/>
          <w:szCs w:val="32"/>
        </w:rPr>
        <w:t>（北京时间）</w:t>
      </w:r>
    </w:p>
    <w:p w14:paraId="32D3CFBD">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color w:val="auto"/>
          <w:sz w:val="32"/>
          <w:szCs w:val="32"/>
        </w:rPr>
      </w:pPr>
      <w:bookmarkStart w:id="2" w:name="_Toc22310"/>
      <w:bookmarkStart w:id="3" w:name="_Toc14771"/>
      <w:r>
        <w:rPr>
          <w:rFonts w:hint="default" w:ascii="Times New Roman" w:hAnsi="Times New Roman" w:eastAsia="方正仿宋_GBK" w:cs="Times New Roman"/>
          <w:b w:val="0"/>
          <w:bCs/>
          <w:color w:val="auto"/>
          <w:sz w:val="32"/>
          <w:szCs w:val="32"/>
        </w:rPr>
        <w:t>开始时间：20</w:t>
      </w:r>
      <w:r>
        <w:rPr>
          <w:rFonts w:hint="default" w:ascii="Times New Roman" w:hAnsi="Times New Roman" w:eastAsia="方正仿宋_GBK" w:cs="Times New Roman"/>
          <w:b w:val="0"/>
          <w:bCs/>
          <w:color w:val="auto"/>
          <w:sz w:val="32"/>
          <w:szCs w:val="32"/>
          <w:lang w:val="en-US" w:eastAsia="zh-CN"/>
        </w:rPr>
        <w:t>23</w:t>
      </w:r>
      <w:r>
        <w:rPr>
          <w:rFonts w:hint="default" w:ascii="Times New Roman" w:hAnsi="Times New Roman" w:eastAsia="方正仿宋_GBK" w:cs="Times New Roman"/>
          <w:b w:val="0"/>
          <w:bCs/>
          <w:color w:val="auto"/>
          <w:sz w:val="32"/>
          <w:szCs w:val="32"/>
        </w:rPr>
        <w:t>年</w:t>
      </w:r>
      <w:r>
        <w:rPr>
          <w:rFonts w:hint="default" w:ascii="Times New Roman" w:hAnsi="Times New Roman" w:eastAsia="方正仿宋_GBK" w:cs="Times New Roman"/>
          <w:b w:val="0"/>
          <w:bCs/>
          <w:color w:val="auto"/>
          <w:sz w:val="32"/>
          <w:szCs w:val="32"/>
          <w:lang w:val="en-US" w:eastAsia="zh-CN"/>
        </w:rPr>
        <w:t>3</w:t>
      </w:r>
      <w:r>
        <w:rPr>
          <w:rFonts w:hint="default" w:ascii="Times New Roman" w:hAnsi="Times New Roman" w:eastAsia="方正仿宋_GBK" w:cs="Times New Roman"/>
          <w:b w:val="0"/>
          <w:bCs/>
          <w:color w:val="auto"/>
          <w:sz w:val="32"/>
          <w:szCs w:val="32"/>
        </w:rPr>
        <w:t>月</w:t>
      </w:r>
      <w:r>
        <w:rPr>
          <w:rFonts w:hint="default" w:ascii="Times New Roman" w:hAnsi="Times New Roman" w:eastAsia="方正仿宋_GBK" w:cs="Times New Roman"/>
          <w:b w:val="0"/>
          <w:bCs/>
          <w:color w:val="auto"/>
          <w:sz w:val="32"/>
          <w:szCs w:val="32"/>
          <w:lang w:val="en-US" w:eastAsia="zh-CN"/>
        </w:rPr>
        <w:t>27</w:t>
      </w:r>
      <w:r>
        <w:rPr>
          <w:rFonts w:hint="default" w:ascii="Times New Roman" w:hAnsi="Times New Roman" w:eastAsia="方正仿宋_GBK" w:cs="Times New Roman"/>
          <w:b w:val="0"/>
          <w:bCs/>
          <w:color w:val="auto"/>
          <w:sz w:val="32"/>
          <w:szCs w:val="32"/>
        </w:rPr>
        <w:t>日</w:t>
      </w:r>
      <w:r>
        <w:rPr>
          <w:rFonts w:hint="default" w:ascii="Times New Roman" w:hAnsi="Times New Roman" w:eastAsia="方正仿宋_GBK" w:cs="Times New Roman"/>
          <w:b w:val="0"/>
          <w:bCs/>
          <w:color w:val="auto"/>
          <w:sz w:val="32"/>
          <w:szCs w:val="32"/>
          <w:lang w:val="en-US" w:eastAsia="zh-CN"/>
        </w:rPr>
        <w:t>15</w:t>
      </w:r>
      <w:r>
        <w:rPr>
          <w:rFonts w:hint="default" w:ascii="Times New Roman" w:hAnsi="Times New Roman" w:eastAsia="方正仿宋_GBK" w:cs="Times New Roman"/>
          <w:b w:val="0"/>
          <w:bCs/>
          <w:color w:val="auto"/>
          <w:sz w:val="32"/>
          <w:szCs w:val="32"/>
        </w:rPr>
        <w:t>:00（北京时间）</w:t>
      </w:r>
      <w:bookmarkEnd w:id="2"/>
      <w:bookmarkEnd w:id="3"/>
    </w:p>
    <w:p w14:paraId="31F8172E">
      <w:pPr>
        <w:pStyle w:val="21"/>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sz w:val="32"/>
          <w:szCs w:val="32"/>
          <w:lang w:eastAsia="zh-CN"/>
        </w:rPr>
      </w:pPr>
      <w:bookmarkStart w:id="4" w:name="_Toc20861"/>
      <w:r>
        <w:rPr>
          <w:rFonts w:hint="default" w:ascii="Times New Roman" w:hAnsi="Times New Roman" w:eastAsia="方正仿宋_GBK" w:cs="Times New Roman"/>
          <w:b w:val="0"/>
          <w:bCs/>
          <w:sz w:val="32"/>
          <w:szCs w:val="32"/>
          <w:lang w:val="en-US" w:eastAsia="zh-CN"/>
        </w:rPr>
        <w:t>6.</w:t>
      </w:r>
      <w:r>
        <w:rPr>
          <w:rFonts w:hint="default" w:ascii="Times New Roman" w:hAnsi="Times New Roman" w:eastAsia="方正仿宋_GBK" w:cs="Times New Roman"/>
          <w:b w:val="0"/>
          <w:bCs/>
          <w:sz w:val="32"/>
          <w:szCs w:val="32"/>
        </w:rPr>
        <w:t>开标地点：</w:t>
      </w:r>
      <w:r>
        <w:rPr>
          <w:rFonts w:hint="default" w:ascii="Times New Roman" w:hAnsi="Times New Roman" w:eastAsia="方正仿宋_GBK" w:cs="Times New Roman"/>
          <w:b w:val="0"/>
          <w:bCs/>
          <w:sz w:val="32"/>
          <w:szCs w:val="32"/>
          <w:lang w:eastAsia="zh-CN"/>
        </w:rPr>
        <w:t>曲靖市财政局</w:t>
      </w:r>
      <w:bookmarkEnd w:id="4"/>
    </w:p>
    <w:p w14:paraId="01A62074">
      <w:pPr>
        <w:pStyle w:val="21"/>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7.</w:t>
      </w:r>
      <w:r>
        <w:rPr>
          <w:rFonts w:hint="default" w:ascii="Times New Roman" w:hAnsi="Times New Roman" w:eastAsia="方正仿宋_GBK" w:cs="Times New Roman"/>
          <w:b w:val="0"/>
          <w:bCs/>
          <w:sz w:val="32"/>
          <w:szCs w:val="32"/>
        </w:rPr>
        <w:t xml:space="preserve">电话：  </w:t>
      </w:r>
    </w:p>
    <w:p w14:paraId="2CF3EA69">
      <w:pPr>
        <w:pStyle w:val="21"/>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color w:val="000000" w:themeColor="text1"/>
          <w:sz w:val="32"/>
          <w:szCs w:val="32"/>
          <w:highlight w:val="none"/>
          <w:lang w:val="en-US" w:eastAsia="zh-CN"/>
          <w14:textFill>
            <w14:solidFill>
              <w14:schemeClr w14:val="tx1"/>
            </w14:solidFill>
          </w14:textFill>
        </w:rPr>
      </w:pPr>
      <w:r>
        <w:rPr>
          <w:rFonts w:hint="default" w:ascii="Times New Roman" w:hAnsi="Times New Roman" w:eastAsia="方正仿宋_GBK" w:cs="Times New Roman"/>
          <w:b w:val="0"/>
          <w:bCs/>
          <w:color w:val="auto"/>
          <w:sz w:val="32"/>
          <w:szCs w:val="32"/>
        </w:rPr>
        <w:t>采购人联系人:</w:t>
      </w:r>
      <w:r>
        <w:rPr>
          <w:rFonts w:hint="default" w:ascii="Times New Roman" w:hAnsi="Times New Roman" w:eastAsia="方正仿宋_GBK" w:cs="Times New Roman"/>
          <w:b w:val="0"/>
          <w:bCs/>
          <w:color w:val="auto"/>
          <w:sz w:val="32"/>
          <w:szCs w:val="32"/>
          <w:lang w:eastAsia="zh-CN"/>
        </w:rPr>
        <w:t>何</w:t>
      </w:r>
      <w:r>
        <w:rPr>
          <w:rFonts w:hint="default" w:ascii="Times New Roman" w:hAnsi="Times New Roman" w:eastAsia="方正仿宋_GBK" w:cs="Times New Roman"/>
          <w:b w:val="0"/>
          <w:bCs/>
          <w:color w:val="auto"/>
          <w:sz w:val="32"/>
          <w:szCs w:val="32"/>
          <w:highlight w:val="none"/>
          <w:lang w:val="en-US" w:eastAsia="zh-CN"/>
        </w:rPr>
        <w:t>老师</w:t>
      </w:r>
      <w:r>
        <w:rPr>
          <w:rFonts w:hint="default" w:ascii="Times New Roman" w:hAnsi="Times New Roman" w:eastAsia="方正仿宋_GBK" w:cs="Times New Roman"/>
          <w:b w:val="0"/>
          <w:bCs/>
          <w:color w:val="auto"/>
          <w:sz w:val="32"/>
          <w:szCs w:val="32"/>
          <w:highlight w:val="none"/>
        </w:rPr>
        <w:t xml:space="preserve">    联系电话：0874-</w:t>
      </w:r>
      <w:r>
        <w:rPr>
          <w:rFonts w:hint="default" w:ascii="Times New Roman" w:hAnsi="Times New Roman" w:eastAsia="方正仿宋_GBK" w:cs="Times New Roman"/>
          <w:b w:val="0"/>
          <w:bCs/>
          <w:color w:val="auto"/>
          <w:sz w:val="32"/>
          <w:szCs w:val="32"/>
          <w:highlight w:val="none"/>
          <w:lang w:val="en-US" w:eastAsia="zh-CN"/>
        </w:rPr>
        <w:t>3116393</w:t>
      </w:r>
    </w:p>
    <w:p w14:paraId="7D7B4DBA">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color w:val="auto"/>
          <w:kern w:val="2"/>
          <w:sz w:val="32"/>
          <w:szCs w:val="32"/>
          <w:lang w:val="en-US" w:eastAsia="zh-CN" w:bidi="ar-SA"/>
        </w:rPr>
      </w:pPr>
      <w:r>
        <w:rPr>
          <w:rFonts w:hint="default" w:ascii="Times New Roman" w:hAnsi="Times New Roman" w:eastAsia="方正仿宋_GBK" w:cs="Times New Roman"/>
          <w:b w:val="0"/>
          <w:bCs/>
          <w:color w:val="auto"/>
          <w:kern w:val="2"/>
          <w:sz w:val="32"/>
          <w:szCs w:val="32"/>
          <w:lang w:val="en-US" w:eastAsia="zh-CN" w:bidi="ar-SA"/>
        </w:rPr>
        <w:t>项目联系人：高老师     联系电话：0874—3136489</w:t>
      </w:r>
    </w:p>
    <w:p w14:paraId="04DB4E66">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sz w:val="32"/>
          <w:szCs w:val="32"/>
        </w:rPr>
      </w:pPr>
    </w:p>
    <w:p w14:paraId="7704B47B">
      <w:pPr>
        <w:pStyle w:val="21"/>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  </w:t>
      </w:r>
    </w:p>
    <w:p w14:paraId="6361C142">
      <w:pPr>
        <w:pStyle w:val="21"/>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eastAsia"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 xml:space="preserve"> </w:t>
      </w:r>
      <w:r>
        <w:rPr>
          <w:rFonts w:hint="eastAsia"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 xml:space="preserve"> </w:t>
      </w:r>
      <w:r>
        <w:rPr>
          <w:rFonts w:hint="eastAsia" w:ascii="Times New Roman" w:hAnsi="Times New Roman" w:eastAsia="方正仿宋_GBK" w:cs="Times New Roman"/>
          <w:b w:val="0"/>
          <w:bCs/>
          <w:sz w:val="32"/>
          <w:szCs w:val="32"/>
          <w:lang w:eastAsia="zh-CN"/>
        </w:rPr>
        <w:t>曲靖市财政局</w:t>
      </w:r>
    </w:p>
    <w:p w14:paraId="206F2F94">
      <w:pPr>
        <w:pStyle w:val="21"/>
        <w:keepNext w:val="0"/>
        <w:keepLines w:val="0"/>
        <w:pageBreakBefore w:val="0"/>
        <w:widowControl w:val="0"/>
        <w:kinsoku/>
        <w:wordWrap/>
        <w:overflowPunct/>
        <w:topLinePunct w:val="0"/>
        <w:autoSpaceDE/>
        <w:autoSpaceDN/>
        <w:bidi w:val="0"/>
        <w:adjustRightInd/>
        <w:snapToGrid/>
        <w:spacing w:line="600" w:lineRule="exact"/>
        <w:ind w:left="0" w:leftChars="0" w:right="0" w:firstLine="5760" w:firstLineChars="1800"/>
        <w:jc w:val="both"/>
        <w:textAlignment w:val="auto"/>
        <w:rPr>
          <w:rFonts w:hint="default" w:ascii="Times New Roman" w:hAnsi="Times New Roman" w:eastAsia="方正仿宋_GBK" w:cs="Times New Roman"/>
          <w:b w:val="0"/>
          <w:bCs/>
          <w:color w:val="auto"/>
          <w:sz w:val="32"/>
          <w:szCs w:val="32"/>
        </w:rPr>
      </w:pPr>
      <w:bookmarkStart w:id="5" w:name="_Toc23808"/>
      <w:bookmarkStart w:id="6" w:name="_Toc23122"/>
      <w:bookmarkStart w:id="7" w:name="_Toc13449"/>
      <w:r>
        <w:rPr>
          <w:rFonts w:hint="default" w:ascii="Times New Roman" w:hAnsi="Times New Roman" w:eastAsia="方正仿宋_GBK" w:cs="Times New Roman"/>
          <w:b w:val="0"/>
          <w:bCs/>
          <w:color w:val="auto"/>
          <w:sz w:val="32"/>
          <w:szCs w:val="32"/>
        </w:rPr>
        <w:t>20</w:t>
      </w:r>
      <w:r>
        <w:rPr>
          <w:rFonts w:hint="default" w:ascii="Times New Roman" w:hAnsi="Times New Roman" w:eastAsia="方正仿宋_GBK" w:cs="Times New Roman"/>
          <w:b w:val="0"/>
          <w:bCs/>
          <w:color w:val="auto"/>
          <w:sz w:val="32"/>
          <w:szCs w:val="32"/>
          <w:lang w:val="en-US" w:eastAsia="zh-CN"/>
        </w:rPr>
        <w:t>23</w:t>
      </w:r>
      <w:r>
        <w:rPr>
          <w:rFonts w:hint="default" w:ascii="Times New Roman" w:hAnsi="Times New Roman" w:eastAsia="方正仿宋_GBK" w:cs="Times New Roman"/>
          <w:b w:val="0"/>
          <w:bCs/>
          <w:color w:val="auto"/>
          <w:sz w:val="32"/>
          <w:szCs w:val="32"/>
        </w:rPr>
        <w:t>年</w:t>
      </w:r>
      <w:r>
        <w:rPr>
          <w:rFonts w:hint="default" w:ascii="Times New Roman" w:hAnsi="Times New Roman" w:eastAsia="方正仿宋_GBK" w:cs="Times New Roman"/>
          <w:b w:val="0"/>
          <w:bCs/>
          <w:color w:val="auto"/>
          <w:sz w:val="32"/>
          <w:szCs w:val="32"/>
          <w:lang w:val="en-US" w:eastAsia="zh-CN"/>
        </w:rPr>
        <w:t>3</w:t>
      </w:r>
      <w:r>
        <w:rPr>
          <w:rFonts w:hint="default" w:ascii="Times New Roman" w:hAnsi="Times New Roman" w:eastAsia="方正仿宋_GBK" w:cs="Times New Roman"/>
          <w:b w:val="0"/>
          <w:bCs/>
          <w:color w:val="auto"/>
          <w:sz w:val="32"/>
          <w:szCs w:val="32"/>
        </w:rPr>
        <w:t>月</w:t>
      </w:r>
      <w:r>
        <w:rPr>
          <w:rFonts w:hint="default" w:ascii="Times New Roman" w:hAnsi="Times New Roman" w:eastAsia="方正仿宋_GBK" w:cs="Times New Roman"/>
          <w:b w:val="0"/>
          <w:bCs/>
          <w:color w:val="auto"/>
          <w:sz w:val="32"/>
          <w:szCs w:val="32"/>
          <w:lang w:val="en-US" w:eastAsia="zh-CN"/>
        </w:rPr>
        <w:t>13</w:t>
      </w:r>
      <w:r>
        <w:rPr>
          <w:rFonts w:hint="default" w:ascii="Times New Roman" w:hAnsi="Times New Roman" w:eastAsia="方正仿宋_GBK" w:cs="Times New Roman"/>
          <w:b w:val="0"/>
          <w:bCs/>
          <w:color w:val="auto"/>
          <w:sz w:val="32"/>
          <w:szCs w:val="32"/>
        </w:rPr>
        <w:t>日</w:t>
      </w:r>
      <w:bookmarkEnd w:id="5"/>
      <w:bookmarkEnd w:id="6"/>
      <w:bookmarkEnd w:id="7"/>
    </w:p>
    <w:p w14:paraId="6DBB8677">
      <w:pPr>
        <w:pStyle w:val="21"/>
        <w:keepNext w:val="0"/>
        <w:keepLines w:val="0"/>
        <w:pageBreakBefore w:val="0"/>
        <w:widowControl w:val="0"/>
        <w:kinsoku/>
        <w:wordWrap/>
        <w:overflowPunct/>
        <w:topLinePunct w:val="0"/>
        <w:autoSpaceDE/>
        <w:autoSpaceDN/>
        <w:bidi w:val="0"/>
        <w:adjustRightInd/>
        <w:snapToGrid/>
        <w:spacing w:line="720" w:lineRule="exact"/>
        <w:ind w:left="0" w:leftChars="0" w:right="0" w:firstLine="0" w:firstLineChars="0"/>
        <w:jc w:val="center"/>
        <w:textAlignment w:val="auto"/>
        <w:outlineLvl w:val="0"/>
        <w:rPr>
          <w:rFonts w:hint="eastAsia" w:ascii="方正小标宋_GBK" w:hAnsi="方正小标宋_GBK" w:eastAsia="方正小标宋_GBK" w:cs="方正小标宋_GBK"/>
          <w:b w:val="0"/>
          <w:bCs/>
          <w:sz w:val="44"/>
          <w:szCs w:val="44"/>
        </w:rPr>
      </w:pPr>
      <w:r>
        <w:rPr>
          <w:rFonts w:hint="default" w:ascii="Times New Roman" w:hAnsi="Times New Roman" w:eastAsia="方正仿宋_GBK" w:cs="Times New Roman"/>
          <w:b w:val="0"/>
          <w:bCs/>
          <w:sz w:val="32"/>
          <w:szCs w:val="32"/>
        </w:rPr>
        <w:br w:type="page"/>
      </w:r>
      <w:bookmarkStart w:id="8" w:name="_Toc16285"/>
      <w:bookmarkStart w:id="9" w:name="_Toc30831"/>
      <w:r>
        <w:rPr>
          <w:rFonts w:hint="eastAsia" w:ascii="方正小标宋_GBK" w:hAnsi="方正小标宋_GBK" w:eastAsia="方正小标宋_GBK" w:cs="方正小标宋_GBK"/>
          <w:b w:val="0"/>
          <w:bCs/>
          <w:sz w:val="44"/>
          <w:szCs w:val="44"/>
        </w:rPr>
        <w:t>第二章  文件和项目要求</w:t>
      </w:r>
      <w:bookmarkEnd w:id="8"/>
      <w:bookmarkEnd w:id="9"/>
    </w:p>
    <w:p w14:paraId="6D705F01">
      <w:pPr>
        <w:pStyle w:val="21"/>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jc w:val="both"/>
        <w:textAlignment w:val="auto"/>
        <w:rPr>
          <w:rFonts w:hint="default" w:ascii="Times New Roman" w:hAnsi="Times New Roman" w:eastAsia="方正仿宋_GBK" w:cs="Times New Roman"/>
          <w:b w:val="0"/>
          <w:bCs/>
          <w:sz w:val="32"/>
          <w:szCs w:val="32"/>
        </w:rPr>
      </w:pPr>
      <w:bookmarkStart w:id="10" w:name="_Toc14411"/>
      <w:r>
        <w:rPr>
          <w:rFonts w:hint="eastAsia"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rPr>
        <w:t>采购人及采购预算</w:t>
      </w:r>
      <w:bookmarkEnd w:id="10"/>
    </w:p>
    <w:tbl>
      <w:tblPr>
        <w:tblStyle w:val="37"/>
        <w:tblW w:w="90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5181"/>
        <w:gridCol w:w="2830"/>
      </w:tblGrid>
      <w:tr w14:paraId="766EE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vAlign w:val="center"/>
          </w:tcPr>
          <w:p w14:paraId="3A497E9D">
            <w:pPr>
              <w:pStyle w:val="21"/>
              <w:keepNext w:val="0"/>
              <w:keepLines w:val="0"/>
              <w:pageBreakBefore w:val="0"/>
              <w:widowControl w:val="0"/>
              <w:kinsoku/>
              <w:wordWrap/>
              <w:overflowPunct/>
              <w:topLinePunct w:val="0"/>
              <w:autoSpaceDE/>
              <w:autoSpaceDN/>
              <w:bidi w:val="0"/>
              <w:adjustRightInd/>
              <w:snapToGrid/>
              <w:spacing w:line="600" w:lineRule="exact"/>
              <w:ind w:left="0" w:leftChars="0"/>
              <w:jc w:val="both"/>
              <w:textAlignment w:val="auto"/>
              <w:rPr>
                <w:rFonts w:hint="default" w:ascii="Times New Roman" w:hAnsi="Times New Roman" w:eastAsia="方正仿宋_GBK" w:cs="Times New Roman"/>
                <w:b w:val="0"/>
                <w:bCs/>
                <w:sz w:val="32"/>
                <w:szCs w:val="32"/>
              </w:rPr>
            </w:pPr>
            <w:bookmarkStart w:id="11" w:name="_Toc2509"/>
            <w:r>
              <w:rPr>
                <w:rFonts w:hint="default" w:ascii="Times New Roman" w:hAnsi="Times New Roman" w:eastAsia="方正仿宋_GBK" w:cs="Times New Roman"/>
                <w:b w:val="0"/>
                <w:bCs/>
                <w:sz w:val="32"/>
                <w:szCs w:val="32"/>
              </w:rPr>
              <w:t>项</w:t>
            </w:r>
            <w:bookmarkEnd w:id="11"/>
          </w:p>
        </w:tc>
        <w:tc>
          <w:tcPr>
            <w:tcW w:w="5181" w:type="dxa"/>
            <w:vAlign w:val="center"/>
          </w:tcPr>
          <w:p w14:paraId="4DC5572D">
            <w:pPr>
              <w:pStyle w:val="21"/>
              <w:keepNext w:val="0"/>
              <w:keepLines w:val="0"/>
              <w:pageBreakBefore w:val="0"/>
              <w:widowControl w:val="0"/>
              <w:kinsoku/>
              <w:wordWrap/>
              <w:overflowPunct/>
              <w:topLinePunct w:val="0"/>
              <w:autoSpaceDE/>
              <w:autoSpaceDN/>
              <w:bidi w:val="0"/>
              <w:adjustRightInd/>
              <w:snapToGrid/>
              <w:spacing w:line="600" w:lineRule="exact"/>
              <w:ind w:left="0" w:leftChars="0"/>
              <w:jc w:val="both"/>
              <w:textAlignment w:val="auto"/>
              <w:rPr>
                <w:rFonts w:hint="default" w:ascii="Times New Roman" w:hAnsi="Times New Roman" w:eastAsia="方正仿宋_GBK" w:cs="Times New Roman"/>
                <w:b w:val="0"/>
                <w:bCs/>
                <w:sz w:val="32"/>
                <w:szCs w:val="32"/>
              </w:rPr>
            </w:pPr>
            <w:bookmarkStart w:id="12" w:name="_Toc14956"/>
            <w:r>
              <w:rPr>
                <w:rFonts w:hint="default" w:ascii="Times New Roman" w:hAnsi="Times New Roman" w:eastAsia="方正仿宋_GBK" w:cs="Times New Roman"/>
                <w:b w:val="0"/>
                <w:bCs/>
                <w:sz w:val="32"/>
                <w:szCs w:val="32"/>
              </w:rPr>
              <w:t>采购人</w:t>
            </w:r>
            <w:bookmarkEnd w:id="12"/>
          </w:p>
        </w:tc>
        <w:tc>
          <w:tcPr>
            <w:tcW w:w="2830" w:type="dxa"/>
            <w:vAlign w:val="center"/>
          </w:tcPr>
          <w:p w14:paraId="1E1603FF">
            <w:pPr>
              <w:pStyle w:val="21"/>
              <w:keepNext w:val="0"/>
              <w:keepLines w:val="0"/>
              <w:pageBreakBefore w:val="0"/>
              <w:widowControl w:val="0"/>
              <w:kinsoku/>
              <w:wordWrap/>
              <w:overflowPunct/>
              <w:topLinePunct w:val="0"/>
              <w:autoSpaceDE/>
              <w:autoSpaceDN/>
              <w:bidi w:val="0"/>
              <w:adjustRightInd/>
              <w:snapToGrid/>
              <w:spacing w:line="600" w:lineRule="exact"/>
              <w:ind w:left="0" w:leftChars="0"/>
              <w:jc w:val="both"/>
              <w:textAlignment w:val="auto"/>
              <w:rPr>
                <w:rFonts w:hint="default" w:ascii="Times New Roman" w:hAnsi="Times New Roman" w:eastAsia="方正仿宋_GBK" w:cs="Times New Roman"/>
                <w:b w:val="0"/>
                <w:bCs/>
                <w:sz w:val="32"/>
                <w:szCs w:val="32"/>
              </w:rPr>
            </w:pPr>
            <w:bookmarkStart w:id="13" w:name="_Toc19628"/>
            <w:r>
              <w:rPr>
                <w:rFonts w:hint="default" w:ascii="Times New Roman" w:hAnsi="Times New Roman" w:eastAsia="方正仿宋_GBK" w:cs="Times New Roman"/>
                <w:b w:val="0"/>
                <w:bCs/>
                <w:sz w:val="32"/>
                <w:szCs w:val="32"/>
              </w:rPr>
              <w:t>采购预算</w:t>
            </w:r>
            <w:bookmarkEnd w:id="13"/>
            <w:r>
              <w:rPr>
                <w:rFonts w:hint="default" w:ascii="Times New Roman" w:hAnsi="Times New Roman" w:eastAsia="方正仿宋_GBK" w:cs="Times New Roman"/>
                <w:b w:val="0"/>
                <w:bCs/>
                <w:sz w:val="32"/>
                <w:szCs w:val="32"/>
              </w:rPr>
              <w:t>（元</w:t>
            </w:r>
            <w:r>
              <w:rPr>
                <w:rFonts w:hint="default" w:ascii="Times New Roman" w:hAnsi="Times New Roman" w:eastAsia="方正仿宋_GBK" w:cs="Times New Roman"/>
                <w:b w:val="0"/>
                <w:bCs/>
                <w:sz w:val="32"/>
                <w:szCs w:val="32"/>
                <w:lang w:val="en-US" w:eastAsia="zh-CN"/>
              </w:rPr>
              <w:t>/年</w:t>
            </w:r>
            <w:r>
              <w:rPr>
                <w:rFonts w:hint="default" w:ascii="Times New Roman" w:hAnsi="Times New Roman" w:eastAsia="方正仿宋_GBK" w:cs="Times New Roman"/>
                <w:b w:val="0"/>
                <w:bCs/>
                <w:sz w:val="32"/>
                <w:szCs w:val="32"/>
              </w:rPr>
              <w:t>）</w:t>
            </w:r>
          </w:p>
        </w:tc>
      </w:tr>
      <w:tr w14:paraId="32ED9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vAlign w:val="center"/>
          </w:tcPr>
          <w:p w14:paraId="468B9D15">
            <w:pPr>
              <w:pStyle w:val="21"/>
              <w:keepNext w:val="0"/>
              <w:keepLines w:val="0"/>
              <w:pageBreakBefore w:val="0"/>
              <w:widowControl w:val="0"/>
              <w:kinsoku/>
              <w:wordWrap/>
              <w:overflowPunct/>
              <w:topLinePunct w:val="0"/>
              <w:autoSpaceDE/>
              <w:autoSpaceDN/>
              <w:bidi w:val="0"/>
              <w:adjustRightInd/>
              <w:snapToGrid/>
              <w:spacing w:line="600" w:lineRule="exact"/>
              <w:ind w:left="0" w:leftChars="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w:t>
            </w:r>
          </w:p>
        </w:tc>
        <w:tc>
          <w:tcPr>
            <w:tcW w:w="5181" w:type="dxa"/>
            <w:vAlign w:val="center"/>
          </w:tcPr>
          <w:p w14:paraId="184C6682">
            <w:pPr>
              <w:pStyle w:val="21"/>
              <w:keepNext w:val="0"/>
              <w:keepLines w:val="0"/>
              <w:pageBreakBefore w:val="0"/>
              <w:widowControl w:val="0"/>
              <w:kinsoku/>
              <w:wordWrap/>
              <w:overflowPunct/>
              <w:topLinePunct w:val="0"/>
              <w:autoSpaceDE/>
              <w:autoSpaceDN/>
              <w:bidi w:val="0"/>
              <w:adjustRightInd/>
              <w:snapToGrid/>
              <w:spacing w:line="600" w:lineRule="exact"/>
              <w:ind w:left="0" w:leftChars="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eastAsia="zh-CN"/>
              </w:rPr>
              <w:t>曲靖市财政局</w:t>
            </w:r>
          </w:p>
        </w:tc>
        <w:tc>
          <w:tcPr>
            <w:tcW w:w="2830" w:type="dxa"/>
            <w:vAlign w:val="center"/>
          </w:tcPr>
          <w:p w14:paraId="59E9D686">
            <w:pPr>
              <w:pStyle w:val="21"/>
              <w:keepNext w:val="0"/>
              <w:keepLines w:val="0"/>
              <w:pageBreakBefore w:val="0"/>
              <w:widowControl w:val="0"/>
              <w:kinsoku/>
              <w:wordWrap/>
              <w:overflowPunct/>
              <w:topLinePunct w:val="0"/>
              <w:autoSpaceDE/>
              <w:autoSpaceDN/>
              <w:bidi w:val="0"/>
              <w:adjustRightInd/>
              <w:snapToGrid/>
              <w:spacing w:line="600" w:lineRule="exact"/>
              <w:ind w:left="0" w:leftChars="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58000</w:t>
            </w:r>
          </w:p>
        </w:tc>
      </w:tr>
    </w:tbl>
    <w:p w14:paraId="2575F3B5">
      <w:pPr>
        <w:pStyle w:val="21"/>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jc w:val="both"/>
        <w:textAlignment w:val="auto"/>
        <w:rPr>
          <w:rFonts w:hint="default" w:ascii="Times New Roman" w:hAnsi="Times New Roman" w:eastAsia="方正仿宋_GBK" w:cs="Times New Roman"/>
          <w:b w:val="0"/>
          <w:bCs/>
          <w:sz w:val="32"/>
          <w:szCs w:val="32"/>
        </w:rPr>
      </w:pPr>
      <w:bookmarkStart w:id="14" w:name="_Toc2787"/>
      <w:bookmarkStart w:id="15" w:name="_Toc16234"/>
      <w:bookmarkStart w:id="16" w:name="_Toc18454"/>
      <w:r>
        <w:rPr>
          <w:rFonts w:hint="eastAsia"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rPr>
        <w:t>参与的供应商资格要求：</w:t>
      </w:r>
      <w:bookmarkEnd w:id="14"/>
      <w:bookmarkEnd w:id="15"/>
    </w:p>
    <w:bookmarkEnd w:id="16"/>
    <w:p w14:paraId="62AE1877">
      <w:pPr>
        <w:pStyle w:val="21"/>
        <w:keepNext w:val="0"/>
        <w:keepLines w:val="0"/>
        <w:pageBreakBefore w:val="0"/>
        <w:widowControl w:val="0"/>
        <w:kinsoku/>
        <w:wordWrap/>
        <w:overflowPunct/>
        <w:topLinePunct w:val="0"/>
        <w:autoSpaceDE/>
        <w:autoSpaceDN/>
        <w:bidi w:val="0"/>
        <w:adjustRightInd/>
        <w:snapToGrid/>
        <w:spacing w:line="600" w:lineRule="exact"/>
        <w:ind w:left="0" w:leftChars="0"/>
        <w:jc w:val="both"/>
        <w:textAlignment w:val="auto"/>
        <w:rPr>
          <w:rFonts w:hint="default" w:ascii="Times New Roman" w:hAnsi="Times New Roman" w:eastAsia="方正仿宋_GBK" w:cs="Times New Roman"/>
          <w:b w:val="0"/>
          <w:bCs/>
          <w:kern w:val="0"/>
          <w:sz w:val="32"/>
          <w:szCs w:val="32"/>
          <w:lang w:eastAsia="zh-CN"/>
        </w:rPr>
      </w:pPr>
      <w:r>
        <w:rPr>
          <w:rFonts w:hint="default" w:ascii="Times New Roman" w:hAnsi="Times New Roman" w:eastAsia="方正仿宋_GBK" w:cs="Times New Roman"/>
          <w:b w:val="0"/>
          <w:bCs/>
          <w:kern w:val="0"/>
          <w:sz w:val="32"/>
          <w:szCs w:val="32"/>
          <w:lang w:eastAsia="zh-CN"/>
        </w:rPr>
        <w:t>（1）参与的供应商必须具备《政府采购法》第二十二条规定的条件。</w:t>
      </w:r>
    </w:p>
    <w:p w14:paraId="4B94BF2B">
      <w:pPr>
        <w:pStyle w:val="21"/>
        <w:keepNext w:val="0"/>
        <w:keepLines w:val="0"/>
        <w:pageBreakBefore w:val="0"/>
        <w:widowControl w:val="0"/>
        <w:kinsoku/>
        <w:wordWrap/>
        <w:overflowPunct/>
        <w:topLinePunct w:val="0"/>
        <w:autoSpaceDE/>
        <w:autoSpaceDN/>
        <w:bidi w:val="0"/>
        <w:adjustRightInd/>
        <w:snapToGrid/>
        <w:spacing w:line="600" w:lineRule="exact"/>
        <w:ind w:left="0" w:leftChars="0"/>
        <w:jc w:val="both"/>
        <w:textAlignment w:val="auto"/>
        <w:rPr>
          <w:rFonts w:hint="default" w:ascii="Times New Roman" w:hAnsi="Times New Roman" w:eastAsia="方正仿宋_GBK" w:cs="Times New Roman"/>
          <w:b w:val="0"/>
          <w:bCs/>
          <w:kern w:val="0"/>
          <w:sz w:val="32"/>
          <w:szCs w:val="32"/>
          <w:lang w:eastAsia="zh-CN"/>
        </w:rPr>
      </w:pPr>
      <w:r>
        <w:rPr>
          <w:rFonts w:hint="default" w:ascii="Times New Roman" w:hAnsi="Times New Roman" w:eastAsia="方正仿宋_GBK" w:cs="Times New Roman"/>
          <w:b w:val="0"/>
          <w:bCs/>
          <w:kern w:val="0"/>
          <w:sz w:val="32"/>
          <w:szCs w:val="32"/>
          <w:lang w:eastAsia="zh-CN"/>
        </w:rPr>
        <w:t>（2）本次采购不接受联合体投标。</w:t>
      </w:r>
    </w:p>
    <w:p w14:paraId="637A0901">
      <w:pPr>
        <w:pStyle w:val="21"/>
        <w:keepNext w:val="0"/>
        <w:keepLines w:val="0"/>
        <w:pageBreakBefore w:val="0"/>
        <w:widowControl w:val="0"/>
        <w:kinsoku/>
        <w:wordWrap/>
        <w:overflowPunct/>
        <w:topLinePunct w:val="0"/>
        <w:autoSpaceDE/>
        <w:autoSpaceDN/>
        <w:bidi w:val="0"/>
        <w:adjustRightInd/>
        <w:snapToGrid/>
        <w:spacing w:line="600" w:lineRule="exact"/>
        <w:ind w:left="0" w:leftChars="0"/>
        <w:jc w:val="both"/>
        <w:textAlignment w:val="auto"/>
        <w:rPr>
          <w:rFonts w:hint="default" w:ascii="Times New Roman" w:hAnsi="Times New Roman" w:eastAsia="方正仿宋_GBK" w:cs="Times New Roman"/>
          <w:b w:val="0"/>
          <w:bCs/>
          <w:kern w:val="0"/>
          <w:sz w:val="32"/>
          <w:szCs w:val="32"/>
          <w:lang w:eastAsia="zh-CN"/>
        </w:rPr>
      </w:pPr>
      <w:r>
        <w:rPr>
          <w:rFonts w:hint="default" w:ascii="Times New Roman" w:hAnsi="Times New Roman" w:eastAsia="方正仿宋_GBK" w:cs="Times New Roman"/>
          <w:b w:val="0"/>
          <w:bCs/>
          <w:kern w:val="0"/>
          <w:sz w:val="32"/>
          <w:szCs w:val="32"/>
          <w:lang w:eastAsia="zh-CN"/>
        </w:rPr>
        <w:t>（3）报价必须对第四章所列服务进行完整报价。</w:t>
      </w:r>
    </w:p>
    <w:p w14:paraId="5DD07CB2">
      <w:pPr>
        <w:pStyle w:val="21"/>
        <w:keepNext w:val="0"/>
        <w:keepLines w:val="0"/>
        <w:pageBreakBefore w:val="0"/>
        <w:widowControl w:val="0"/>
        <w:kinsoku/>
        <w:wordWrap/>
        <w:overflowPunct/>
        <w:topLinePunct w:val="0"/>
        <w:autoSpaceDE/>
        <w:autoSpaceDN/>
        <w:bidi w:val="0"/>
        <w:adjustRightInd/>
        <w:snapToGrid/>
        <w:spacing w:line="600" w:lineRule="exact"/>
        <w:ind w:left="0" w:leftChars="0"/>
        <w:jc w:val="both"/>
        <w:textAlignment w:val="auto"/>
        <w:rPr>
          <w:rFonts w:hint="default" w:ascii="Times New Roman" w:hAnsi="Times New Roman" w:eastAsia="方正仿宋_GBK" w:cs="Times New Roman"/>
          <w:b w:val="0"/>
          <w:bCs/>
          <w:kern w:val="0"/>
          <w:sz w:val="32"/>
          <w:szCs w:val="32"/>
          <w:highlight w:val="none"/>
          <w:lang w:eastAsia="zh-CN"/>
        </w:rPr>
      </w:pPr>
      <w:r>
        <w:rPr>
          <w:rFonts w:hint="default" w:ascii="Times New Roman" w:hAnsi="Times New Roman" w:eastAsia="方正仿宋_GBK" w:cs="Times New Roman"/>
          <w:b w:val="0"/>
          <w:bCs/>
          <w:kern w:val="0"/>
          <w:sz w:val="32"/>
          <w:szCs w:val="32"/>
          <w:lang w:eastAsia="zh-CN"/>
        </w:rPr>
        <w:t>（</w:t>
      </w:r>
      <w:r>
        <w:rPr>
          <w:rFonts w:hint="default" w:ascii="Times New Roman" w:hAnsi="Times New Roman" w:eastAsia="方正仿宋_GBK" w:cs="Times New Roman"/>
          <w:b w:val="0"/>
          <w:bCs/>
          <w:kern w:val="0"/>
          <w:sz w:val="32"/>
          <w:szCs w:val="32"/>
          <w:lang w:val="en-US" w:eastAsia="zh-CN"/>
        </w:rPr>
        <w:t>4</w:t>
      </w:r>
      <w:r>
        <w:rPr>
          <w:rFonts w:hint="default" w:ascii="Times New Roman" w:hAnsi="Times New Roman" w:eastAsia="方正仿宋_GBK" w:cs="Times New Roman"/>
          <w:b w:val="0"/>
          <w:bCs/>
          <w:kern w:val="0"/>
          <w:sz w:val="32"/>
          <w:szCs w:val="32"/>
          <w:lang w:eastAsia="zh-CN"/>
        </w:rPr>
        <w:t>）</w:t>
      </w:r>
      <w:r>
        <w:rPr>
          <w:rFonts w:hint="default" w:ascii="Times New Roman" w:hAnsi="Times New Roman" w:eastAsia="方正仿宋_GBK" w:cs="Times New Roman"/>
          <w:b w:val="0"/>
          <w:bCs/>
          <w:kern w:val="0"/>
          <w:sz w:val="32"/>
          <w:szCs w:val="32"/>
          <w:highlight w:val="none"/>
          <w:lang w:eastAsia="zh-CN"/>
        </w:rPr>
        <w:t>服务期限</w:t>
      </w:r>
      <w:r>
        <w:rPr>
          <w:rFonts w:hint="default" w:ascii="Times New Roman" w:hAnsi="Times New Roman" w:eastAsia="方正仿宋_GBK" w:cs="Times New Roman"/>
          <w:b w:val="0"/>
          <w:bCs/>
          <w:kern w:val="0"/>
          <w:sz w:val="32"/>
          <w:szCs w:val="32"/>
          <w:highlight w:val="none"/>
          <w:lang w:val="en-US" w:eastAsia="zh-CN"/>
        </w:rPr>
        <w:t>三</w:t>
      </w:r>
      <w:r>
        <w:rPr>
          <w:rFonts w:hint="default" w:ascii="Times New Roman" w:hAnsi="Times New Roman" w:eastAsia="方正仿宋_GBK" w:cs="Times New Roman"/>
          <w:b w:val="0"/>
          <w:bCs/>
          <w:kern w:val="0"/>
          <w:sz w:val="32"/>
          <w:szCs w:val="32"/>
          <w:highlight w:val="none"/>
          <w:lang w:eastAsia="zh-CN"/>
        </w:rPr>
        <w:t>年。</w:t>
      </w:r>
      <w:r>
        <w:rPr>
          <w:rFonts w:hint="eastAsia" w:ascii="Times New Roman" w:hAnsi="Times New Roman" w:eastAsia="方正仿宋_GBK" w:cs="Times New Roman"/>
          <w:b w:val="0"/>
          <w:bCs/>
          <w:kern w:val="0"/>
          <w:sz w:val="32"/>
          <w:szCs w:val="32"/>
          <w:highlight w:val="none"/>
          <w:lang w:val="en-US" w:eastAsia="zh-CN"/>
        </w:rPr>
        <w:t>验收</w:t>
      </w:r>
      <w:r>
        <w:rPr>
          <w:rFonts w:hint="default" w:ascii="Times New Roman" w:hAnsi="Times New Roman" w:eastAsia="方正仿宋_GBK" w:cs="Times New Roman"/>
          <w:b w:val="0"/>
          <w:bCs/>
          <w:kern w:val="0"/>
          <w:sz w:val="32"/>
          <w:szCs w:val="32"/>
          <w:highlight w:val="none"/>
          <w:lang w:val="en-US" w:eastAsia="zh-CN"/>
        </w:rPr>
        <w:t>合格后续签下一年</w:t>
      </w:r>
      <w:r>
        <w:rPr>
          <w:rFonts w:hint="eastAsia" w:ascii="Times New Roman" w:hAnsi="Times New Roman" w:eastAsia="方正仿宋_GBK" w:cs="Times New Roman"/>
          <w:b w:val="0"/>
          <w:bCs/>
          <w:kern w:val="0"/>
          <w:sz w:val="32"/>
          <w:szCs w:val="32"/>
          <w:highlight w:val="none"/>
          <w:lang w:val="en-US" w:eastAsia="zh-CN"/>
        </w:rPr>
        <w:t>运维</w:t>
      </w:r>
      <w:r>
        <w:rPr>
          <w:rFonts w:hint="default" w:ascii="Times New Roman" w:hAnsi="Times New Roman" w:eastAsia="方正仿宋_GBK" w:cs="Times New Roman"/>
          <w:b w:val="0"/>
          <w:bCs/>
          <w:kern w:val="0"/>
          <w:sz w:val="32"/>
          <w:szCs w:val="32"/>
          <w:highlight w:val="none"/>
          <w:lang w:val="en-US" w:eastAsia="zh-CN"/>
        </w:rPr>
        <w:t>合同。</w:t>
      </w:r>
      <w:r>
        <w:rPr>
          <w:rFonts w:hint="default" w:ascii="Times New Roman" w:hAnsi="Times New Roman" w:eastAsia="方正仿宋_GBK" w:cs="Times New Roman"/>
          <w:b w:val="0"/>
          <w:bCs/>
          <w:kern w:val="0"/>
          <w:sz w:val="32"/>
          <w:szCs w:val="32"/>
          <w:highlight w:val="none"/>
          <w:lang w:eastAsia="zh-CN"/>
        </w:rPr>
        <w:t>合同为一年一签一确认。</w:t>
      </w:r>
    </w:p>
    <w:p w14:paraId="4860A6FB">
      <w:pPr>
        <w:rPr>
          <w:rFonts w:hint="default" w:ascii="Times New Roman" w:hAnsi="Times New Roman" w:eastAsia="方正仿宋_GBK" w:cs="Times New Roman"/>
          <w:b w:val="0"/>
          <w:bCs/>
          <w:kern w:val="0"/>
          <w:sz w:val="32"/>
          <w:szCs w:val="32"/>
          <w:highlight w:val="none"/>
          <w:lang w:eastAsia="zh-CN"/>
        </w:rPr>
      </w:pPr>
    </w:p>
    <w:p w14:paraId="718211AB">
      <w:pPr>
        <w:pStyle w:val="2"/>
        <w:rPr>
          <w:rFonts w:hint="default" w:ascii="Times New Roman" w:hAnsi="Times New Roman" w:eastAsia="方正仿宋_GBK" w:cs="Times New Roman"/>
          <w:b w:val="0"/>
          <w:bCs/>
          <w:kern w:val="0"/>
          <w:sz w:val="32"/>
          <w:szCs w:val="32"/>
          <w:highlight w:val="none"/>
          <w:lang w:eastAsia="zh-CN"/>
        </w:rPr>
      </w:pPr>
    </w:p>
    <w:p w14:paraId="1B7F5DD3">
      <w:pPr>
        <w:pStyle w:val="2"/>
        <w:rPr>
          <w:rFonts w:hint="default" w:ascii="Times New Roman" w:hAnsi="Times New Roman" w:eastAsia="方正仿宋_GBK" w:cs="Times New Roman"/>
          <w:b w:val="0"/>
          <w:bCs/>
          <w:kern w:val="0"/>
          <w:sz w:val="32"/>
          <w:szCs w:val="32"/>
          <w:highlight w:val="none"/>
          <w:lang w:eastAsia="zh-CN"/>
        </w:rPr>
      </w:pPr>
    </w:p>
    <w:p w14:paraId="5AE23295">
      <w:pPr>
        <w:pStyle w:val="2"/>
        <w:rPr>
          <w:rFonts w:hint="default" w:ascii="Times New Roman" w:hAnsi="Times New Roman" w:eastAsia="方正仿宋_GBK" w:cs="Times New Roman"/>
          <w:b w:val="0"/>
          <w:bCs/>
          <w:kern w:val="0"/>
          <w:sz w:val="32"/>
          <w:szCs w:val="32"/>
          <w:highlight w:val="none"/>
          <w:lang w:eastAsia="zh-CN"/>
        </w:rPr>
      </w:pPr>
    </w:p>
    <w:p w14:paraId="6133F9C0">
      <w:pPr>
        <w:pStyle w:val="2"/>
        <w:rPr>
          <w:rFonts w:hint="default" w:ascii="Times New Roman" w:hAnsi="Times New Roman" w:eastAsia="方正仿宋_GBK" w:cs="Times New Roman"/>
          <w:b w:val="0"/>
          <w:bCs/>
          <w:kern w:val="0"/>
          <w:sz w:val="32"/>
          <w:szCs w:val="32"/>
          <w:highlight w:val="none"/>
          <w:lang w:eastAsia="zh-CN"/>
        </w:rPr>
      </w:pPr>
    </w:p>
    <w:p w14:paraId="4DB30CA4">
      <w:pPr>
        <w:pStyle w:val="2"/>
        <w:rPr>
          <w:rFonts w:hint="default" w:ascii="Times New Roman" w:hAnsi="Times New Roman" w:eastAsia="方正仿宋_GBK" w:cs="Times New Roman"/>
          <w:b w:val="0"/>
          <w:bCs/>
          <w:kern w:val="0"/>
          <w:sz w:val="32"/>
          <w:szCs w:val="32"/>
          <w:highlight w:val="none"/>
          <w:lang w:eastAsia="zh-CN"/>
        </w:rPr>
      </w:pPr>
    </w:p>
    <w:p w14:paraId="45DE7892">
      <w:pPr>
        <w:pStyle w:val="2"/>
        <w:rPr>
          <w:rFonts w:hint="default" w:ascii="Times New Roman" w:hAnsi="Times New Roman" w:eastAsia="方正仿宋_GBK" w:cs="Times New Roman"/>
          <w:b w:val="0"/>
          <w:bCs/>
          <w:kern w:val="0"/>
          <w:sz w:val="32"/>
          <w:szCs w:val="32"/>
          <w:highlight w:val="none"/>
          <w:lang w:eastAsia="zh-CN"/>
        </w:rPr>
      </w:pPr>
    </w:p>
    <w:p w14:paraId="478D3C5B">
      <w:pPr>
        <w:pStyle w:val="2"/>
        <w:rPr>
          <w:rFonts w:hint="default" w:ascii="Times New Roman" w:hAnsi="Times New Roman" w:eastAsia="方正仿宋_GBK" w:cs="Times New Roman"/>
          <w:b w:val="0"/>
          <w:bCs/>
          <w:kern w:val="0"/>
          <w:sz w:val="32"/>
          <w:szCs w:val="32"/>
          <w:highlight w:val="none"/>
          <w:lang w:eastAsia="zh-CN"/>
        </w:rPr>
      </w:pPr>
    </w:p>
    <w:p w14:paraId="7133D15B">
      <w:pPr>
        <w:pStyle w:val="2"/>
        <w:rPr>
          <w:rFonts w:hint="default" w:ascii="Times New Roman" w:hAnsi="Times New Roman" w:eastAsia="方正仿宋_GBK" w:cs="Times New Roman"/>
          <w:b w:val="0"/>
          <w:bCs/>
          <w:kern w:val="0"/>
          <w:sz w:val="32"/>
          <w:szCs w:val="32"/>
          <w:highlight w:val="none"/>
          <w:lang w:eastAsia="zh-CN"/>
        </w:rPr>
      </w:pPr>
    </w:p>
    <w:p w14:paraId="7D67EBDA">
      <w:pPr>
        <w:pStyle w:val="2"/>
        <w:rPr>
          <w:rFonts w:hint="default" w:ascii="Times New Roman" w:hAnsi="Times New Roman" w:eastAsia="方正仿宋_GBK" w:cs="Times New Roman"/>
          <w:b w:val="0"/>
          <w:bCs/>
          <w:kern w:val="0"/>
          <w:sz w:val="32"/>
          <w:szCs w:val="32"/>
          <w:highlight w:val="none"/>
          <w:lang w:eastAsia="zh-CN"/>
        </w:rPr>
      </w:pPr>
    </w:p>
    <w:p w14:paraId="23208154">
      <w:pPr>
        <w:pStyle w:val="2"/>
        <w:rPr>
          <w:rFonts w:hint="default" w:ascii="Times New Roman" w:hAnsi="Times New Roman" w:eastAsia="方正仿宋_GBK" w:cs="Times New Roman"/>
          <w:b w:val="0"/>
          <w:bCs/>
          <w:kern w:val="0"/>
          <w:sz w:val="32"/>
          <w:szCs w:val="32"/>
          <w:highlight w:val="none"/>
          <w:lang w:eastAsia="zh-CN"/>
        </w:rPr>
      </w:pPr>
    </w:p>
    <w:p w14:paraId="32A8DD88">
      <w:pPr>
        <w:pStyle w:val="2"/>
        <w:rPr>
          <w:rFonts w:hint="default" w:ascii="Times New Roman" w:hAnsi="Times New Roman" w:eastAsia="方正仿宋_GBK" w:cs="Times New Roman"/>
          <w:b w:val="0"/>
          <w:bCs/>
          <w:kern w:val="0"/>
          <w:sz w:val="32"/>
          <w:szCs w:val="32"/>
          <w:highlight w:val="none"/>
          <w:lang w:eastAsia="zh-CN"/>
        </w:rPr>
      </w:pPr>
    </w:p>
    <w:p w14:paraId="70F186D5">
      <w:pPr>
        <w:pStyle w:val="2"/>
        <w:rPr>
          <w:rFonts w:hint="default" w:ascii="Times New Roman" w:hAnsi="Times New Roman" w:eastAsia="方正仿宋_GBK" w:cs="Times New Roman"/>
          <w:b w:val="0"/>
          <w:bCs/>
          <w:kern w:val="0"/>
          <w:sz w:val="32"/>
          <w:szCs w:val="32"/>
          <w:highlight w:val="none"/>
          <w:lang w:eastAsia="zh-CN"/>
        </w:rPr>
      </w:pPr>
    </w:p>
    <w:p w14:paraId="71DBB2A1">
      <w:pPr>
        <w:pStyle w:val="2"/>
        <w:rPr>
          <w:rFonts w:hint="default" w:ascii="Times New Roman" w:hAnsi="Times New Roman" w:eastAsia="方正仿宋_GBK" w:cs="Times New Roman"/>
          <w:b w:val="0"/>
          <w:bCs/>
          <w:kern w:val="0"/>
          <w:sz w:val="32"/>
          <w:szCs w:val="32"/>
          <w:highlight w:val="none"/>
          <w:lang w:eastAsia="zh-CN"/>
        </w:rPr>
      </w:pPr>
    </w:p>
    <w:p w14:paraId="1A26D33E">
      <w:pPr>
        <w:pStyle w:val="2"/>
        <w:rPr>
          <w:rFonts w:hint="default" w:ascii="Times New Roman" w:hAnsi="Times New Roman" w:eastAsia="方正仿宋_GBK" w:cs="Times New Roman"/>
          <w:b w:val="0"/>
          <w:bCs/>
          <w:kern w:val="0"/>
          <w:sz w:val="32"/>
          <w:szCs w:val="32"/>
          <w:highlight w:val="none"/>
          <w:lang w:eastAsia="zh-CN"/>
        </w:rPr>
      </w:pPr>
    </w:p>
    <w:p w14:paraId="59113FBC">
      <w:pPr>
        <w:pStyle w:val="2"/>
        <w:rPr>
          <w:rFonts w:hint="default" w:ascii="Times New Roman" w:hAnsi="Times New Roman" w:eastAsia="方正仿宋_GBK" w:cs="Times New Roman"/>
          <w:b w:val="0"/>
          <w:bCs/>
          <w:kern w:val="0"/>
          <w:sz w:val="32"/>
          <w:szCs w:val="32"/>
          <w:highlight w:val="none"/>
          <w:lang w:eastAsia="zh-CN"/>
        </w:rPr>
      </w:pPr>
    </w:p>
    <w:p w14:paraId="01847CE0">
      <w:pPr>
        <w:pStyle w:val="2"/>
        <w:rPr>
          <w:rFonts w:hint="default" w:ascii="Times New Roman" w:hAnsi="Times New Roman" w:eastAsia="方正仿宋_GBK" w:cs="Times New Roman"/>
          <w:b w:val="0"/>
          <w:bCs/>
          <w:kern w:val="0"/>
          <w:sz w:val="32"/>
          <w:szCs w:val="32"/>
          <w:highlight w:val="none"/>
          <w:lang w:eastAsia="zh-CN"/>
        </w:rPr>
      </w:pPr>
    </w:p>
    <w:p w14:paraId="60A49FE9">
      <w:pPr>
        <w:pStyle w:val="2"/>
        <w:rPr>
          <w:rFonts w:hint="default" w:ascii="Times New Roman" w:hAnsi="Times New Roman" w:eastAsia="方正仿宋_GBK" w:cs="Times New Roman"/>
          <w:b w:val="0"/>
          <w:bCs/>
          <w:kern w:val="0"/>
          <w:sz w:val="32"/>
          <w:szCs w:val="32"/>
          <w:highlight w:val="none"/>
          <w:lang w:eastAsia="zh-CN"/>
        </w:rPr>
      </w:pPr>
    </w:p>
    <w:p w14:paraId="13249E14">
      <w:pPr>
        <w:pStyle w:val="2"/>
        <w:rPr>
          <w:rFonts w:hint="default" w:ascii="Times New Roman" w:hAnsi="Times New Roman" w:eastAsia="方正仿宋_GBK" w:cs="Times New Roman"/>
          <w:b w:val="0"/>
          <w:bCs/>
          <w:kern w:val="0"/>
          <w:sz w:val="32"/>
          <w:szCs w:val="32"/>
          <w:highlight w:val="none"/>
          <w:lang w:val="en-US" w:eastAsia="zh-CN"/>
        </w:rPr>
      </w:pPr>
    </w:p>
    <w:p w14:paraId="1507C579">
      <w:pPr>
        <w:pStyle w:val="21"/>
        <w:keepNext w:val="0"/>
        <w:keepLines w:val="0"/>
        <w:pageBreakBefore w:val="0"/>
        <w:widowControl w:val="0"/>
        <w:kinsoku/>
        <w:wordWrap/>
        <w:overflowPunct/>
        <w:topLinePunct w:val="0"/>
        <w:autoSpaceDE/>
        <w:autoSpaceDN/>
        <w:bidi w:val="0"/>
        <w:adjustRightInd/>
        <w:snapToGrid/>
        <w:spacing w:line="720" w:lineRule="exact"/>
        <w:ind w:left="0" w:leftChars="0" w:right="0" w:firstLine="0" w:firstLineChars="0"/>
        <w:jc w:val="center"/>
        <w:textAlignment w:val="auto"/>
        <w:outlineLvl w:val="0"/>
        <w:rPr>
          <w:rFonts w:hint="eastAsia" w:ascii="方正小标宋_GBK" w:hAnsi="方正小标宋_GBK" w:eastAsia="方正小标宋_GBK" w:cs="方正小标宋_GBK"/>
          <w:b w:val="0"/>
          <w:bCs/>
          <w:sz w:val="44"/>
          <w:szCs w:val="44"/>
        </w:rPr>
      </w:pPr>
      <w:bookmarkStart w:id="17" w:name="_Toc27878"/>
      <w:bookmarkStart w:id="18" w:name="_Toc18402"/>
      <w:r>
        <w:rPr>
          <w:rFonts w:hint="eastAsia" w:ascii="方正小标宋_GBK" w:hAnsi="方正小标宋_GBK" w:eastAsia="方正小标宋_GBK" w:cs="方正小标宋_GBK"/>
          <w:b w:val="0"/>
          <w:bCs/>
          <w:sz w:val="44"/>
          <w:szCs w:val="44"/>
        </w:rPr>
        <w:t>第三章  供应商须知</w:t>
      </w:r>
      <w:bookmarkEnd w:id="17"/>
      <w:bookmarkEnd w:id="18"/>
    </w:p>
    <w:p w14:paraId="6A1CE053">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方正楷体_GBK" w:cs="Times New Roman"/>
          <w:b w:val="0"/>
          <w:bCs w:val="0"/>
          <w:sz w:val="32"/>
          <w:szCs w:val="32"/>
        </w:rPr>
      </w:pPr>
      <w:bookmarkStart w:id="19" w:name="_Toc16172"/>
      <w:bookmarkStart w:id="20" w:name="_Toc21631"/>
      <w:r>
        <w:rPr>
          <w:rFonts w:hint="default" w:ascii="Times New Roman" w:hAnsi="Times New Roman" w:eastAsia="方正楷体_GBK" w:cs="Times New Roman"/>
          <w:b w:val="0"/>
          <w:bCs w:val="0"/>
          <w:sz w:val="32"/>
          <w:szCs w:val="32"/>
        </w:rPr>
        <w:t>一、响应文件编制</w:t>
      </w:r>
      <w:bookmarkEnd w:id="19"/>
      <w:bookmarkEnd w:id="20"/>
    </w:p>
    <w:p w14:paraId="6B3DADEE">
      <w:pPr>
        <w:pStyle w:val="21"/>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rPr>
      </w:pPr>
      <w:bookmarkStart w:id="21" w:name="_Toc26720"/>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rPr>
        <w:t>要求</w:t>
      </w:r>
    </w:p>
    <w:p w14:paraId="75A68CFD">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sz w:val="32"/>
          <w:szCs w:val="32"/>
        </w:rPr>
        <w:t>供应商应详细阅读文件的全部内容，按照文件的要求编制响应文件，并保证所提供全部资料的真实性，</w:t>
      </w:r>
      <w:r>
        <w:rPr>
          <w:rFonts w:hint="default" w:ascii="Times New Roman" w:hAnsi="Times New Roman" w:eastAsia="方正仿宋_GBK" w:cs="Times New Roman"/>
          <w:b w:val="0"/>
          <w:bCs/>
          <w:sz w:val="32"/>
          <w:szCs w:val="32"/>
        </w:rPr>
        <w:t>响应文件必须对文件提出的要求和条件作出实质性响应，否则，其报价将被视为无效。</w:t>
      </w:r>
      <w:bookmarkEnd w:id="21"/>
    </w:p>
    <w:p w14:paraId="049BAB5C">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 </w:t>
      </w:r>
      <w:bookmarkStart w:id="22" w:name="_Toc28704"/>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rPr>
        <w:t>响应文件的语言和度量衡单位</w:t>
      </w:r>
      <w:bookmarkEnd w:id="22"/>
    </w:p>
    <w:p w14:paraId="70D3ADCC">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（1）响应文件包括报价表中商品的品名、品牌、型号、技术规格以及供应商与采购交易科就有关的所有来往函电均使用中文；</w:t>
      </w:r>
    </w:p>
    <w:p w14:paraId="32635FBA">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（2）用非中文版印刷的产品说明书， 供应商应附以中文译文；</w:t>
      </w:r>
    </w:p>
    <w:p w14:paraId="7C9E7064">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（3）响应文件中所使用的度量衡单位，除文件中做出要求外，一律用法定计量单位；</w:t>
      </w:r>
    </w:p>
    <w:p w14:paraId="0A69D699">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（4）响应文件中所报商品或服务的价格必须为人民币。</w:t>
      </w:r>
    </w:p>
    <w:p w14:paraId="55AA5E94">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3、响应文件的构成</w:t>
      </w:r>
    </w:p>
    <w:p w14:paraId="327F6EB3">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bookmarkStart w:id="23" w:name="_Toc22072"/>
      <w:bookmarkStart w:id="24" w:name="_Toc15812"/>
      <w:bookmarkStart w:id="25" w:name="_Toc4106"/>
      <w:r>
        <w:rPr>
          <w:rFonts w:hint="default" w:ascii="Times New Roman" w:hAnsi="Times New Roman" w:eastAsia="方正仿宋_GBK" w:cs="Times New Roman"/>
          <w:b w:val="0"/>
          <w:bCs/>
          <w:sz w:val="32"/>
          <w:szCs w:val="32"/>
        </w:rPr>
        <w:t>（1）响应说明；</w:t>
      </w:r>
      <w:bookmarkEnd w:id="23"/>
      <w:bookmarkEnd w:id="24"/>
      <w:bookmarkEnd w:id="25"/>
    </w:p>
    <w:p w14:paraId="7534CD16">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bookmarkStart w:id="26" w:name="_Toc17085"/>
      <w:bookmarkStart w:id="27" w:name="_Toc18828"/>
      <w:bookmarkStart w:id="28" w:name="_Toc17011"/>
      <w:r>
        <w:rPr>
          <w:rFonts w:hint="default" w:ascii="Times New Roman" w:hAnsi="Times New Roman" w:eastAsia="方正仿宋_GBK" w:cs="Times New Roman"/>
          <w:b w:val="0"/>
          <w:bCs/>
          <w:sz w:val="32"/>
          <w:szCs w:val="32"/>
        </w:rPr>
        <w:t>（2）保证书；</w:t>
      </w:r>
      <w:bookmarkEnd w:id="26"/>
      <w:bookmarkEnd w:id="27"/>
      <w:bookmarkEnd w:id="28"/>
    </w:p>
    <w:p w14:paraId="2732ABA2">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（3）报价表</w:t>
      </w:r>
    </w:p>
    <w:p w14:paraId="2FBBC63C">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bookmarkStart w:id="29" w:name="_Toc16418"/>
      <w:bookmarkStart w:id="30" w:name="_Toc28944"/>
      <w:bookmarkStart w:id="31" w:name="_Toc14614"/>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w:t>
      </w:r>
      <w:bookmarkEnd w:id="29"/>
      <w:bookmarkEnd w:id="30"/>
      <w:bookmarkEnd w:id="31"/>
      <w:bookmarkStart w:id="32" w:name="_Toc15171"/>
      <w:bookmarkStart w:id="33" w:name="_Toc6457"/>
      <w:bookmarkStart w:id="34" w:name="_Toc24513"/>
      <w:r>
        <w:rPr>
          <w:rFonts w:hint="default" w:ascii="Times New Roman" w:hAnsi="Times New Roman" w:eastAsia="方正仿宋_GBK" w:cs="Times New Roman"/>
          <w:b w:val="0"/>
          <w:bCs/>
          <w:sz w:val="32"/>
          <w:szCs w:val="32"/>
        </w:rPr>
        <w:t>项目实施方案；</w:t>
      </w:r>
      <w:bookmarkEnd w:id="32"/>
      <w:bookmarkEnd w:id="33"/>
      <w:bookmarkEnd w:id="34"/>
    </w:p>
    <w:p w14:paraId="62898C6A">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中小</w:t>
      </w:r>
      <w:r>
        <w:rPr>
          <w:rFonts w:hint="default" w:ascii="Times New Roman" w:hAnsi="Times New Roman" w:eastAsia="方正仿宋_GBK" w:cs="Times New Roman"/>
          <w:b w:val="0"/>
          <w:bCs/>
          <w:sz w:val="32"/>
          <w:szCs w:val="32"/>
        </w:rPr>
        <w:t>企业声明函；</w:t>
      </w:r>
    </w:p>
    <w:p w14:paraId="1BDC59BE">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bookmarkStart w:id="35" w:name="_Toc13073"/>
      <w:bookmarkStart w:id="36" w:name="_Toc25489"/>
      <w:bookmarkStart w:id="37" w:name="_Toc1909"/>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6</w:t>
      </w:r>
      <w:r>
        <w:rPr>
          <w:rFonts w:hint="default" w:ascii="Times New Roman" w:hAnsi="Times New Roman" w:eastAsia="方正仿宋_GBK" w:cs="Times New Roman"/>
          <w:b w:val="0"/>
          <w:bCs/>
          <w:sz w:val="32"/>
          <w:szCs w:val="32"/>
        </w:rPr>
        <w:t>）项目售后服务承诺；</w:t>
      </w:r>
      <w:bookmarkEnd w:id="35"/>
      <w:bookmarkEnd w:id="36"/>
      <w:bookmarkEnd w:id="37"/>
    </w:p>
    <w:p w14:paraId="67C37211">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bookmarkStart w:id="38" w:name="_Toc19209"/>
      <w:bookmarkStart w:id="39" w:name="_Toc10422"/>
      <w:bookmarkStart w:id="40" w:name="_Toc3092"/>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7</w:t>
      </w:r>
      <w:r>
        <w:rPr>
          <w:rFonts w:hint="default" w:ascii="Times New Roman" w:hAnsi="Times New Roman" w:eastAsia="方正仿宋_GBK" w:cs="Times New Roman"/>
          <w:b w:val="0"/>
          <w:bCs/>
          <w:sz w:val="32"/>
          <w:szCs w:val="32"/>
        </w:rPr>
        <w:t>）供应商资质和资信证明文件；</w:t>
      </w:r>
      <w:bookmarkEnd w:id="38"/>
      <w:bookmarkEnd w:id="39"/>
      <w:bookmarkEnd w:id="40"/>
    </w:p>
    <w:p w14:paraId="20311A9D">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bookmarkStart w:id="41" w:name="_Toc4245"/>
      <w:bookmarkStart w:id="42" w:name="_Toc7466"/>
      <w:bookmarkStart w:id="43" w:name="_Toc30857"/>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rPr>
        <w:t>）证明商品或服务的合格性和符合文件规定的文件</w:t>
      </w:r>
      <w:bookmarkEnd w:id="41"/>
      <w:bookmarkEnd w:id="42"/>
      <w:bookmarkEnd w:id="43"/>
      <w:r>
        <w:rPr>
          <w:rFonts w:hint="default" w:ascii="Times New Roman" w:hAnsi="Times New Roman" w:eastAsia="方正仿宋_GBK" w:cs="Times New Roman"/>
          <w:b w:val="0"/>
          <w:bCs/>
          <w:sz w:val="32"/>
          <w:szCs w:val="32"/>
        </w:rPr>
        <w:t>；</w:t>
      </w:r>
    </w:p>
    <w:p w14:paraId="7C9C2BD5">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FF0000"/>
          <w:kern w:val="2"/>
          <w:sz w:val="32"/>
          <w:szCs w:val="32"/>
          <w:lang w:val="en-US" w:eastAsia="zh-CN" w:bidi="ar-SA"/>
        </w:rPr>
      </w:pP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9</w:t>
      </w:r>
      <w:r>
        <w:rPr>
          <w:rFonts w:hint="default" w:ascii="Times New Roman" w:hAnsi="Times New Roman" w:eastAsia="方正仿宋_GBK" w:cs="Times New Roman"/>
          <w:b w:val="0"/>
          <w:bCs/>
          <w:sz w:val="32"/>
          <w:szCs w:val="32"/>
        </w:rPr>
        <w:t>）其他资料.</w:t>
      </w:r>
    </w:p>
    <w:p w14:paraId="60AF92EC">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lang w:val="en-US" w:eastAsia="zh-CN"/>
        </w:rPr>
      </w:pPr>
    </w:p>
    <w:p w14:paraId="7903C109">
      <w:pPr>
        <w:pStyle w:val="21"/>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报价</w:t>
      </w:r>
    </w:p>
    <w:p w14:paraId="4C5AD789">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rPr>
        <w:t>不允许供应商对同一标的有两个或两个以上的报价方案；</w:t>
      </w:r>
    </w:p>
    <w:p w14:paraId="6489350F">
      <w:pPr>
        <w:pStyle w:val="21"/>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人在提供的报价表上标明的货物的单价和总价均为交货地价；</w:t>
      </w:r>
    </w:p>
    <w:p w14:paraId="15D9C53D">
      <w:pPr>
        <w:pStyle w:val="21"/>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报价一览表与报价明细表汇总金额不一致的以报价一览表为准；响应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14:paraId="424147F4">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 xml:space="preserve">供应商若不同意按以上原则处理，则报价无效。 </w:t>
      </w:r>
    </w:p>
    <w:p w14:paraId="1D359B0C">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rPr>
        <w:t>、企业评审价</w:t>
      </w:r>
    </w:p>
    <w:p w14:paraId="049F900C">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根据《政府采购促进中小企业发展管理办法》（财库〔2020〕46 号）、《关于进一步加大政府采购支持中小企业力度的通知》（财库〔2022〕19号）的规定，对符合条件企业提供的货物、工程或服务的投标报价给予</w:t>
      </w:r>
      <w:r>
        <w:rPr>
          <w:rFonts w:hint="eastAsia"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rPr>
        <w:t>0%的扣除作为评审价。</w:t>
      </w:r>
    </w:p>
    <w:p w14:paraId="5E7ECD60">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满足要求</w:t>
      </w:r>
      <w:r>
        <w:rPr>
          <w:rFonts w:hint="default" w:ascii="Times New Roman" w:hAnsi="Times New Roman" w:eastAsia="方正仿宋_GBK" w:cs="Times New Roman"/>
          <w:b w:val="0"/>
          <w:bCs/>
          <w:sz w:val="32"/>
          <w:szCs w:val="32"/>
        </w:rPr>
        <w:t>企业须</w:t>
      </w:r>
      <w:r>
        <w:rPr>
          <w:rFonts w:hint="default" w:ascii="Times New Roman" w:hAnsi="Times New Roman" w:eastAsia="方正仿宋_GBK" w:cs="Times New Roman"/>
          <w:b w:val="0"/>
          <w:bCs/>
          <w:sz w:val="32"/>
          <w:szCs w:val="32"/>
          <w:lang w:val="en-US" w:eastAsia="zh-CN"/>
        </w:rPr>
        <w:t>填写《中小企业声明函》</w:t>
      </w:r>
      <w:r>
        <w:rPr>
          <w:rFonts w:hint="default" w:ascii="Times New Roman" w:hAnsi="Times New Roman" w:eastAsia="方正仿宋_GBK" w:cs="Times New Roman"/>
          <w:b w:val="0"/>
          <w:bCs/>
          <w:sz w:val="32"/>
          <w:szCs w:val="32"/>
        </w:rPr>
        <w:t>，不按要求提供则不</w:t>
      </w:r>
      <w:r>
        <w:rPr>
          <w:rFonts w:hint="eastAsia" w:ascii="Times New Roman" w:hAnsi="Times New Roman" w:eastAsia="方正仿宋_GBK" w:cs="Times New Roman"/>
          <w:b w:val="0"/>
          <w:bCs/>
          <w:sz w:val="32"/>
          <w:szCs w:val="32"/>
          <w:lang w:val="en-US" w:eastAsia="zh-CN"/>
        </w:rPr>
        <w:t>进行</w:t>
      </w:r>
      <w:r>
        <w:rPr>
          <w:rFonts w:hint="default" w:ascii="Times New Roman" w:hAnsi="Times New Roman" w:eastAsia="方正仿宋_GBK" w:cs="Times New Roman"/>
          <w:b w:val="0"/>
          <w:bCs/>
          <w:sz w:val="32"/>
          <w:szCs w:val="32"/>
        </w:rPr>
        <w:t>评审价格扣除。</w:t>
      </w:r>
    </w:p>
    <w:p w14:paraId="4A1649E8">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  </w:t>
      </w:r>
      <w:r>
        <w:rPr>
          <w:rFonts w:hint="default" w:ascii="Times New Roman" w:hAnsi="Times New Roman" w:eastAsia="方正仿宋_GBK" w:cs="Times New Roman"/>
          <w:b w:val="0"/>
          <w:bCs/>
          <w:sz w:val="32"/>
          <w:szCs w:val="32"/>
          <w:lang w:val="en-US" w:eastAsia="zh-CN"/>
        </w:rPr>
        <w:t>6</w:t>
      </w:r>
      <w:r>
        <w:rPr>
          <w:rFonts w:hint="default" w:ascii="Times New Roman" w:hAnsi="Times New Roman" w:eastAsia="方正仿宋_GBK" w:cs="Times New Roman"/>
          <w:b w:val="0"/>
          <w:bCs/>
          <w:sz w:val="32"/>
          <w:szCs w:val="32"/>
        </w:rPr>
        <w:t>、供应商资格和资信证明文件</w:t>
      </w:r>
    </w:p>
    <w:p w14:paraId="38F9E4FA">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供应商应提交证明其有资格进行报价和有能力履行合同的文件，作为响应文件的一部分：</w:t>
      </w:r>
    </w:p>
    <w:p w14:paraId="53A7D28F">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（1）法人或者其他组织的营业执照等证明文件，自然人的身份证明（供应商的生产经营资格证明（复印件加盖公章）、工商营业执照、税务登记证、法人机构代码证（副本复印件加盖公章）等）；</w:t>
      </w:r>
    </w:p>
    <w:p w14:paraId="0C8BE09A">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（2）财务状况报告，依法缴纳税收和社会保障资金的相关材料；</w:t>
      </w:r>
    </w:p>
    <w:p w14:paraId="6E6AD806">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（3）具备履行合同所必需的设备和专业技术能力的证明材料；</w:t>
      </w:r>
    </w:p>
    <w:p w14:paraId="15400F3C">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（4）参加政府采购活动前3年内在经营活动中没有重大违法记录的书面声明；</w:t>
      </w:r>
    </w:p>
    <w:p w14:paraId="497EBC54">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（5）具备法律、行政法规规定的其他条件的证明材料。</w:t>
      </w:r>
    </w:p>
    <w:p w14:paraId="62E06FA7">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（6）采购项目有特殊要求的，投标人还应当提供其符合特殊要求的证明材料或者情况说明。</w:t>
      </w:r>
    </w:p>
    <w:p w14:paraId="44B23FEC">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（7）法定代表人资格证明（原件），报价代表本人身份证（原件），法人代表授权参与报价的，委托代理人还必须出具法人亲笔签署的授权委托书。</w:t>
      </w:r>
    </w:p>
    <w:p w14:paraId="04EFFA72">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7</w:t>
      </w:r>
      <w:r>
        <w:rPr>
          <w:rFonts w:hint="default" w:ascii="Times New Roman" w:hAnsi="Times New Roman" w:eastAsia="方正仿宋_GBK" w:cs="Times New Roman"/>
          <w:b w:val="0"/>
          <w:bCs/>
          <w:sz w:val="32"/>
          <w:szCs w:val="32"/>
        </w:rPr>
        <w:t>、证明商品和服务的合格性和符合文件规定的文件</w:t>
      </w:r>
    </w:p>
    <w:p w14:paraId="7220B751">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 商品和服务合格性的证明文件应包括对设备和服务来源地的说明及项目的中文产品说明，并有符合国家质量检测标准的合格证明；</w:t>
      </w:r>
    </w:p>
    <w:p w14:paraId="1019EEC8">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（2）证明商品和服务与文件的要求相一致的文件，可以是文字（中文）资料、图纸和数据，包括：</w:t>
      </w:r>
    </w:p>
    <w:p w14:paraId="4892090F">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A、对照文件的要求逐条对所提供货物的主要技术指标和性能，作有无偏离的详细说明； </w:t>
      </w:r>
    </w:p>
    <w:p w14:paraId="594CFA8C">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B、对售后服务做出实质性的响应。</w:t>
      </w:r>
    </w:p>
    <w:p w14:paraId="200A6AFE">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sz w:val="32"/>
          <w:szCs w:val="32"/>
        </w:rPr>
      </w:pPr>
      <w:bookmarkStart w:id="44" w:name="_Toc5678"/>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rPr>
        <w:t>、</w:t>
      </w:r>
      <w:bookmarkEnd w:id="44"/>
      <w:r>
        <w:rPr>
          <w:rFonts w:hint="default" w:ascii="Times New Roman" w:hAnsi="Times New Roman" w:eastAsia="方正仿宋_GBK" w:cs="Times New Roman"/>
          <w:b w:val="0"/>
          <w:bCs/>
          <w:sz w:val="32"/>
          <w:szCs w:val="32"/>
        </w:rPr>
        <w:t xml:space="preserve">响应文件签署。必须由报价单位法定代表人或经法定代表人授权的委托代理人用不褪色的墨水签署并加盖公章。                                                                                                                                                                                                                                                                                                                                                                                                                                                                                                                                                                                                                                                                                                                                                                                                                                                                                                                                                                                                                                                                                                                                                                                                                                                                                                                                                                                                                                                                                                                                                                                                                                                                                                                                                                                                                                                                                                                                                                                                                                                                                                                                                                                                                                                                                                                                                                                                                                                                                                                                                                                                                                                                                                                                                                                                                                                                                                                                                                                                                                                                                                                                                                                                                                                                                                                                                                                                                                                                                                                                                                                                                                                                                                                                                                                                                                                                                                                                                                                                                                                                                                                                                               </w:t>
      </w:r>
      <w:r>
        <w:rPr>
          <w:rFonts w:hint="default" w:ascii="Times New Roman" w:hAnsi="Times New Roman" w:eastAsia="方正仿宋_GBK" w:cs="Times New Roman"/>
          <w:b w:val="0"/>
          <w:bCs/>
          <w:sz w:val="32"/>
          <w:szCs w:val="32"/>
        </w:rPr>
        <w:t xml:space="preserve">                                                                                                                                                                                                                                                                                                                                                                                                                                                                                                                                                                                                                                                                                                                                                                                                         　　　　　　</w:t>
      </w:r>
    </w:p>
    <w:p w14:paraId="0941FA52">
      <w:pPr>
        <w:pStyle w:val="21"/>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outlineLvl w:val="1"/>
        <w:rPr>
          <w:rFonts w:hint="eastAsia" w:ascii="方正黑体_GBK" w:hAnsi="方正黑体_GBK" w:eastAsia="方正黑体_GBK" w:cs="方正黑体_GBK"/>
          <w:b/>
          <w:sz w:val="32"/>
          <w:szCs w:val="32"/>
        </w:rPr>
      </w:pPr>
      <w:bookmarkStart w:id="45" w:name="_Toc10410"/>
      <w:bookmarkStart w:id="46" w:name="_Toc15368"/>
    </w:p>
    <w:p w14:paraId="400626D6">
      <w:pPr>
        <w:pStyle w:val="21"/>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outlineLvl w:val="1"/>
        <w:rPr>
          <w:rFonts w:hint="eastAsia" w:ascii="方正黑体_GBK" w:hAnsi="方正黑体_GBK" w:eastAsia="方正黑体_GBK" w:cs="方正黑体_GBK"/>
          <w:b/>
          <w:sz w:val="32"/>
          <w:szCs w:val="32"/>
        </w:rPr>
      </w:pPr>
      <w:r>
        <w:rPr>
          <w:rFonts w:hint="eastAsia" w:ascii="方正黑体_GBK" w:hAnsi="方正黑体_GBK" w:eastAsia="方正黑体_GBK" w:cs="方正黑体_GBK"/>
          <w:b/>
          <w:sz w:val="32"/>
          <w:szCs w:val="32"/>
        </w:rPr>
        <w:t>二、及评审</w:t>
      </w:r>
      <w:bookmarkEnd w:id="45"/>
      <w:bookmarkEnd w:id="46"/>
    </w:p>
    <w:p w14:paraId="4ADDD3D5">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val="0"/>
          <w:bCs/>
          <w:sz w:val="32"/>
          <w:szCs w:val="32"/>
        </w:rPr>
        <w:t>１、的步骤</w:t>
      </w:r>
    </w:p>
    <w:p w14:paraId="25E8A8E5">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（1）采购按邀请书中规定的时间和地点进行，参加的供应商代表应签名报到以证明其已参与；</w:t>
      </w:r>
    </w:p>
    <w:p w14:paraId="2B16AFE2">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bCs/>
          <w:color w:val="FF0000"/>
          <w:sz w:val="32"/>
          <w:szCs w:val="32"/>
          <w:lang w:val="en-US" w:eastAsia="zh-CN"/>
        </w:rPr>
      </w:pP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）开标时，投标代表须持纸质打印的</w:t>
      </w:r>
      <w:r>
        <w:rPr>
          <w:rFonts w:hint="default" w:ascii="Times New Roman" w:hAnsi="Times New Roman" w:eastAsia="方正仿宋_GBK" w:cs="Times New Roman"/>
          <w:b/>
          <w:bCs/>
          <w:color w:val="FF0000"/>
          <w:sz w:val="32"/>
          <w:szCs w:val="32"/>
          <w:lang w:val="en-US" w:eastAsia="zh-CN"/>
        </w:rPr>
        <w:t>本人身份证（原件）、法定代表人资格证明（原件）、法定代表人亲笔签署的授权委托书（原件）进行资格审查，证件不全不予开标。</w:t>
      </w:r>
    </w:p>
    <w:p w14:paraId="18D1A9B4">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）响应文件审查</w:t>
      </w:r>
    </w:p>
    <w:p w14:paraId="090B251D">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）小组所有成员应当集中与单一供应商分别进行，并给予所有参加的供应商平等的机会，本次</w:t>
      </w:r>
      <w:r>
        <w:rPr>
          <w:rFonts w:hint="eastAsia" w:ascii="Times New Roman" w:hAnsi="Times New Roman" w:eastAsia="方正仿宋_GBK" w:cs="Times New Roman"/>
          <w:sz w:val="32"/>
          <w:szCs w:val="32"/>
          <w:lang w:val="en-US" w:eastAsia="zh-CN"/>
        </w:rPr>
        <w:t>含</w:t>
      </w:r>
      <w:r>
        <w:rPr>
          <w:rFonts w:hint="eastAsia" w:ascii="黑体" w:hAnsi="黑体" w:eastAsia="黑体" w:cs="黑体"/>
          <w:sz w:val="32"/>
          <w:szCs w:val="32"/>
          <w:lang w:val="en-US" w:eastAsia="zh-CN"/>
        </w:rPr>
        <w:t>现场演示（含准备时间）时间不超过 40 分钟、</w:t>
      </w:r>
      <w:r>
        <w:rPr>
          <w:rFonts w:hint="default" w:ascii="Times New Roman" w:hAnsi="Times New Roman" w:eastAsia="方正仿宋_GBK" w:cs="Times New Roman"/>
          <w:sz w:val="32"/>
          <w:szCs w:val="32"/>
        </w:rPr>
        <w:t>现场进行一轮技术性和两轮报价（含最终报价），若小组认为有必要对技术部分进行补充的，投标人在最终报价结束前可对内容进行补充。</w:t>
      </w:r>
    </w:p>
    <w:p w14:paraId="06DF81C3">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在过程中，小组可以根据文件和情况实质性变动采购需求中的质量、服务要求以及合同草案条款，但不得变动文件中的其他内容。对文件作出的实质性变动是文件的有效组成部分，小组应当及时以书面形式同时通知所有参加的供应商。供应商应当按照文件的变动情况和小组的要求重新提交响应文件，并由其法定代表人或授权代表签字或者加盖公章。</w:t>
      </w:r>
    </w:p>
    <w:p w14:paraId="2D53F981">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b、文件能够详细列明采购标的的技术、服务要求的，结束后，小组将要求所有实质性响应的供应商在规定时间内提交最后报价。最后报价是供应商响应文件的有效组成部分。</w:t>
      </w:r>
      <w:r>
        <w:rPr>
          <w:rFonts w:hint="default" w:ascii="Times New Roman" w:hAnsi="Times New Roman" w:eastAsia="方正仿宋_GBK" w:cs="Times New Roman"/>
          <w:b/>
          <w:bCs/>
          <w:color w:val="FF0000"/>
          <w:sz w:val="32"/>
          <w:szCs w:val="32"/>
          <w:lang w:val="en-US" w:eastAsia="zh-CN"/>
        </w:rPr>
        <w:t>未按时提交最后报价的报价分为0分。</w:t>
      </w:r>
    </w:p>
    <w:p w14:paraId="4BBDBC5E">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c、已提交响应文件的供应商，在提交最后报价之前，可以根据情况退出。</w:t>
      </w:r>
    </w:p>
    <w:p w14:paraId="23DCC759">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经确定最终采购需求和提交最后报价的供应商后，由小组采用综合评分法对提交最后报价的供应商的响应文件和最后报价进行综合评分。综合评分法，是指响应文件满足文件全部实质性要求且按评审因素的量化指标评审得分最高的供应商为成交候选供应商的评审方法。</w:t>
      </w:r>
    </w:p>
    <w:p w14:paraId="01F5DA20">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e、评审时，小组各成员独立对每个有效响应的文件进行评价、打分，然后汇总每个供应商每项评分因素的得分。</w:t>
      </w:r>
    </w:p>
    <w:p w14:paraId="08612471">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sz w:val="32"/>
          <w:szCs w:val="32"/>
        </w:rPr>
      </w:pPr>
      <w:r>
        <w:rPr>
          <w:rFonts w:hint="eastAsia"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rPr>
        <w:t>文件的澄清</w:t>
      </w:r>
    </w:p>
    <w:p w14:paraId="56AF15D0">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121795BD">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小组要求供应商澄清、说明或者更正响应文件将以书面形式作出。供应商的澄清、说明或者更正应当由法定代表人或其授权代表签字或者加盖公章。</w:t>
      </w:r>
    </w:p>
    <w:p w14:paraId="40531A4B">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（2）在中，的任何一方不得透露与有关的其它供应商的技术资料、价格和其它信息。</w:t>
      </w:r>
    </w:p>
    <w:p w14:paraId="050BE6C5">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lang w:val="en-US" w:eastAsia="zh-CN"/>
        </w:rPr>
        <w:t>3、</w:t>
      </w:r>
      <w:r>
        <w:rPr>
          <w:rFonts w:hint="eastAsia" w:ascii="方正仿宋_GBK" w:hAnsi="方正仿宋_GBK" w:eastAsia="方正仿宋_GBK" w:cs="方正仿宋_GBK"/>
          <w:b w:val="0"/>
          <w:bCs/>
          <w:sz w:val="32"/>
          <w:szCs w:val="32"/>
        </w:rPr>
        <w:t>成交原则</w:t>
      </w:r>
    </w:p>
    <w:p w14:paraId="24F31A85">
      <w:pPr>
        <w:pStyle w:val="21"/>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（1）采购交易科将根据本次项目要求组建小组。</w:t>
      </w:r>
    </w:p>
    <w:p w14:paraId="5263D489">
      <w:pPr>
        <w:pStyle w:val="21"/>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（2）成交原则：公正、公平、科学、规范、合法。</w:t>
      </w:r>
    </w:p>
    <w:p w14:paraId="3483ADD9">
      <w:pPr>
        <w:pStyle w:val="21"/>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（3）成交标准：</w:t>
      </w:r>
    </w:p>
    <w:p w14:paraId="175E8162">
      <w:pPr>
        <w:pStyle w:val="21"/>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小组应当根据综合评分情况，按照评审得分由高到低顺序推荐成交候选供应商，并编写评审报告。评审得分相同的，按照最后报价由低到高的顺序推荐。评审得分且最后报价相同的，按照技术指标优劣顺序推荐。</w:t>
      </w:r>
    </w:p>
    <w:p w14:paraId="6D321D04">
      <w:pPr>
        <w:pStyle w:val="21"/>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（4）确定成交供应商：</w:t>
      </w:r>
    </w:p>
    <w:p w14:paraId="77F194B5">
      <w:pPr>
        <w:pStyle w:val="21"/>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采购小组</w:t>
      </w:r>
      <w:r>
        <w:rPr>
          <w:rFonts w:hint="default" w:ascii="Times New Roman" w:hAnsi="Times New Roman" w:eastAsia="方正仿宋_GBK" w:cs="Times New Roman"/>
          <w:sz w:val="32"/>
          <w:szCs w:val="32"/>
        </w:rPr>
        <w:t>在评审结束后2个工作日内将评审报告送</w:t>
      </w:r>
      <w:r>
        <w:rPr>
          <w:rFonts w:hint="default" w:ascii="Times New Roman" w:hAnsi="Times New Roman" w:eastAsia="方正仿宋_GBK" w:cs="Times New Roman"/>
          <w:sz w:val="32"/>
          <w:szCs w:val="32"/>
          <w:lang w:eastAsia="zh-CN"/>
        </w:rPr>
        <w:t>局领导小组</w:t>
      </w:r>
      <w:r>
        <w:rPr>
          <w:rFonts w:hint="default" w:ascii="Times New Roman" w:hAnsi="Times New Roman" w:eastAsia="方正仿宋_GBK" w:cs="Times New Roman"/>
          <w:sz w:val="32"/>
          <w:szCs w:val="32"/>
        </w:rPr>
        <w:t>人确认。采购人应当在收到评审报告后5个工作日内，从评审报告提出的成交候选人中，确定成交供应商数量。采购人逾期未确定成交供应商且不提出异议的，视为确定评审报告提出的最后得分最高的供应商为成交供应商。</w:t>
      </w:r>
    </w:p>
    <w:p w14:paraId="7B34A07B">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（5）小组如发现供应商及其响应文件存在下列情况之一的，其响应文件将不列入评审范围：</w:t>
      </w:r>
    </w:p>
    <w:p w14:paraId="6782C759">
      <w:pPr>
        <w:keepNext w:val="0"/>
        <w:keepLines w:val="0"/>
        <w:pageBreakBefore w:val="0"/>
        <w:widowControl w:val="0"/>
        <w:tabs>
          <w:tab w:val="left" w:pos="3060"/>
        </w:tabs>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a、无单位盖章、无法定代表人或法定代表人授权的代理人签字或盖章的；</w:t>
      </w:r>
    </w:p>
    <w:p w14:paraId="27FFE0AA">
      <w:pPr>
        <w:keepNext w:val="0"/>
        <w:keepLines w:val="0"/>
        <w:pageBreakBefore w:val="0"/>
        <w:widowControl w:val="0"/>
        <w:tabs>
          <w:tab w:val="left" w:pos="3060"/>
        </w:tabs>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b、竞争性文件要求提供的资格证明文件不全的；</w:t>
      </w:r>
    </w:p>
    <w:p w14:paraId="4E8A09BE">
      <w:pPr>
        <w:keepNext w:val="0"/>
        <w:keepLines w:val="0"/>
        <w:pageBreakBefore w:val="0"/>
        <w:widowControl w:val="0"/>
        <w:tabs>
          <w:tab w:val="left" w:pos="3060"/>
        </w:tabs>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c、响应项目不完整的；</w:t>
      </w:r>
    </w:p>
    <w:p w14:paraId="6F117875">
      <w:pPr>
        <w:keepNext w:val="0"/>
        <w:keepLines w:val="0"/>
        <w:pageBreakBefore w:val="0"/>
        <w:widowControl w:val="0"/>
        <w:tabs>
          <w:tab w:val="left" w:pos="3060"/>
        </w:tabs>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d、供应商名称或组织结构与资格预审时不一致且未提供有效证明的；</w:t>
      </w:r>
    </w:p>
    <w:p w14:paraId="278B8565">
      <w:pPr>
        <w:keepNext w:val="0"/>
        <w:keepLines w:val="0"/>
        <w:pageBreakBefore w:val="0"/>
        <w:widowControl w:val="0"/>
        <w:tabs>
          <w:tab w:val="left" w:pos="3060"/>
        </w:tabs>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e、响应报价超出预算价的；</w:t>
      </w:r>
    </w:p>
    <w:p w14:paraId="3E37562D">
      <w:pPr>
        <w:keepNext w:val="0"/>
        <w:keepLines w:val="0"/>
        <w:pageBreakBefore w:val="0"/>
        <w:widowControl w:val="0"/>
        <w:tabs>
          <w:tab w:val="left" w:pos="3060"/>
        </w:tabs>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val="0"/>
          <w:bCs/>
          <w:sz w:val="32"/>
          <w:szCs w:val="32"/>
        </w:rPr>
        <w:t>f、文件明确规定的其他情形。</w:t>
      </w:r>
    </w:p>
    <w:p w14:paraId="364B27B9">
      <w:pPr>
        <w:pStyle w:val="2"/>
        <w:ind w:left="0" w:leftChars="0" w:firstLine="0" w:firstLineChars="0"/>
        <w:rPr>
          <w:rFonts w:hint="eastAsia" w:ascii="仿宋_GB2312" w:hAnsi="宋体" w:eastAsia="仿宋_GB2312"/>
          <w:b/>
          <w:sz w:val="24"/>
          <w:szCs w:val="24"/>
        </w:rPr>
      </w:pPr>
    </w:p>
    <w:p w14:paraId="6CB3B621">
      <w:pPr>
        <w:pStyle w:val="21"/>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lang w:val="en-US" w:eastAsia="zh-CN"/>
        </w:rPr>
        <w:t>4、</w:t>
      </w:r>
      <w:r>
        <w:rPr>
          <w:rFonts w:hint="eastAsia" w:ascii="方正小标宋_GBK" w:hAnsi="方正小标宋_GBK" w:eastAsia="方正小标宋_GBK" w:cs="方正小标宋_GBK"/>
          <w:b w:val="0"/>
          <w:bCs/>
          <w:sz w:val="44"/>
          <w:szCs w:val="44"/>
          <w:lang w:val="en-US" w:eastAsia="zh-CN"/>
        </w:rPr>
        <w:t>评分办法和标准</w:t>
      </w:r>
    </w:p>
    <w:p w14:paraId="3C8288CB">
      <w:pPr>
        <w:pStyle w:val="21"/>
        <w:keepNext w:val="0"/>
        <w:keepLines w:val="0"/>
        <w:pageBreakBefore w:val="0"/>
        <w:widowControl w:val="0"/>
        <w:numPr>
          <w:ilvl w:val="0"/>
          <w:numId w:val="0"/>
        </w:numPr>
        <w:kinsoku/>
        <w:wordWrap/>
        <w:overflowPunct/>
        <w:topLinePunct w:val="0"/>
        <w:autoSpaceDE/>
        <w:autoSpaceDN/>
        <w:bidi w:val="0"/>
        <w:adjustRightInd/>
        <w:snapToGrid/>
        <w:spacing w:line="720" w:lineRule="exact"/>
        <w:jc w:val="center"/>
        <w:textAlignment w:val="auto"/>
        <w:rPr>
          <w:rFonts w:hint="eastAsia" w:ascii="方正小标宋_GBK" w:hAnsi="方正小标宋_GBK" w:eastAsia="方正小标宋_GBK" w:cs="方正小标宋_GBK"/>
          <w:b w:val="0"/>
          <w:bCs/>
          <w:sz w:val="44"/>
          <w:szCs w:val="44"/>
          <w:lang w:val="en-US" w:eastAsia="zh-CN"/>
        </w:rPr>
      </w:pPr>
    </w:p>
    <w:p w14:paraId="72C1241C">
      <w:pPr>
        <w:rPr>
          <w:rFonts w:hint="eastAsia" w:ascii="方正小标宋_GBK" w:hAnsi="方正小标宋_GBK" w:eastAsia="方正小标宋_GBK" w:cs="方正小标宋_GBK"/>
          <w:b w:val="0"/>
          <w:bCs/>
          <w:sz w:val="44"/>
          <w:szCs w:val="44"/>
          <w:lang w:val="en-US" w:eastAsia="zh-CN"/>
        </w:rPr>
      </w:pPr>
    </w:p>
    <w:p w14:paraId="5B13EC2A">
      <w:pPr>
        <w:rPr>
          <w:rFonts w:hint="eastAsia"/>
          <w:lang w:val="en-US" w:eastAsia="zh-CN"/>
        </w:rPr>
      </w:pPr>
    </w:p>
    <w:tbl>
      <w:tblPr>
        <w:tblStyle w:val="38"/>
        <w:tblW w:w="95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0"/>
        <w:gridCol w:w="1637"/>
        <w:gridCol w:w="6174"/>
      </w:tblGrid>
      <w:tr w14:paraId="50131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1" w:type="dxa"/>
            <w:gridSpan w:val="3"/>
            <w:vAlign w:val="center"/>
          </w:tcPr>
          <w:p w14:paraId="539D37FE">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方正小标宋_GBK" w:hAnsi="方正小标宋_GBK" w:eastAsia="方正小标宋_GBK" w:cs="方正小标宋_GBK"/>
                <w:b w:val="0"/>
                <w:bCs/>
                <w:sz w:val="32"/>
                <w:szCs w:val="32"/>
                <w:vertAlign w:val="baseline"/>
                <w:lang w:val="en-US" w:eastAsia="zh-CN"/>
              </w:rPr>
            </w:pPr>
            <w:r>
              <w:rPr>
                <w:rFonts w:hint="eastAsia" w:ascii="方正小标宋_GBK" w:hAnsi="方正小标宋_GBK" w:eastAsia="方正小标宋_GBK" w:cs="方正小标宋_GBK"/>
                <w:b w:val="0"/>
                <w:bCs/>
                <w:kern w:val="2"/>
                <w:sz w:val="32"/>
                <w:szCs w:val="32"/>
                <w:lang w:val="en-US" w:eastAsia="zh-CN" w:bidi="ar-SA"/>
              </w:rPr>
              <w:t>评分办法和标准</w:t>
            </w:r>
          </w:p>
        </w:tc>
      </w:tr>
      <w:tr w14:paraId="042F1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0" w:type="dxa"/>
            <w:vAlign w:val="center"/>
          </w:tcPr>
          <w:p w14:paraId="5D231846">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方正小标宋_GBK" w:hAnsi="方正小标宋_GBK" w:eastAsia="方正小标宋_GBK" w:cs="方正小标宋_GBK"/>
                <w:b w:val="0"/>
                <w:bCs/>
                <w:sz w:val="32"/>
                <w:szCs w:val="32"/>
                <w:vertAlign w:val="baseline"/>
                <w:lang w:val="en-US" w:eastAsia="zh-CN"/>
              </w:rPr>
            </w:pPr>
            <w:r>
              <w:rPr>
                <w:rFonts w:hint="eastAsia" w:ascii="方正小标宋_GBK" w:hAnsi="方正小标宋_GBK" w:eastAsia="方正小标宋_GBK" w:cs="方正小标宋_GBK"/>
                <w:b w:val="0"/>
                <w:bCs/>
                <w:kern w:val="2"/>
                <w:sz w:val="32"/>
                <w:szCs w:val="32"/>
                <w:lang w:val="en-US" w:eastAsia="zh-CN" w:bidi="ar-SA"/>
              </w:rPr>
              <w:t>评审内容</w:t>
            </w:r>
          </w:p>
        </w:tc>
        <w:tc>
          <w:tcPr>
            <w:tcW w:w="7811" w:type="dxa"/>
            <w:gridSpan w:val="2"/>
            <w:vAlign w:val="center"/>
          </w:tcPr>
          <w:p w14:paraId="3CBACB0C">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方正小标宋_GBK" w:hAnsi="方正小标宋_GBK" w:eastAsia="方正小标宋_GBK" w:cs="方正小标宋_GBK"/>
                <w:b w:val="0"/>
                <w:bCs/>
                <w:sz w:val="32"/>
                <w:szCs w:val="32"/>
                <w:vertAlign w:val="baseline"/>
                <w:lang w:val="en-US" w:eastAsia="zh-CN"/>
              </w:rPr>
            </w:pPr>
            <w:r>
              <w:rPr>
                <w:rFonts w:hint="eastAsia" w:ascii="方正小标宋_GBK" w:hAnsi="方正小标宋_GBK" w:eastAsia="方正小标宋_GBK" w:cs="方正小标宋_GBK"/>
                <w:b w:val="0"/>
                <w:bCs/>
                <w:kern w:val="2"/>
                <w:sz w:val="32"/>
                <w:szCs w:val="32"/>
                <w:lang w:val="en-US" w:eastAsia="zh-CN" w:bidi="ar-SA"/>
              </w:rPr>
              <w:t>评审标准</w:t>
            </w:r>
          </w:p>
        </w:tc>
      </w:tr>
      <w:tr w14:paraId="3BAE0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0" w:type="dxa"/>
            <w:vAlign w:val="center"/>
          </w:tcPr>
          <w:p w14:paraId="4F68EE55">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评标总得分计算公式</w:t>
            </w:r>
          </w:p>
        </w:tc>
        <w:tc>
          <w:tcPr>
            <w:tcW w:w="7811" w:type="dxa"/>
            <w:gridSpan w:val="2"/>
          </w:tcPr>
          <w:p w14:paraId="461FB8CE">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人的评标总得分=F1+F2+F3</w:t>
            </w:r>
          </w:p>
          <w:p w14:paraId="2D2DB613">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其中：F1、F2、F3分别为报价、技术部分、商务部分3项评分因素的汇总得分。</w:t>
            </w:r>
          </w:p>
        </w:tc>
      </w:tr>
      <w:tr w14:paraId="468D9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0" w:type="dxa"/>
            <w:vAlign w:val="center"/>
          </w:tcPr>
          <w:p w14:paraId="3B86CC3A">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评分因素权重</w:t>
            </w:r>
          </w:p>
        </w:tc>
        <w:tc>
          <w:tcPr>
            <w:tcW w:w="7811" w:type="dxa"/>
            <w:gridSpan w:val="2"/>
          </w:tcPr>
          <w:p w14:paraId="39A7D65C">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投标报价F1：10分。</w:t>
            </w:r>
          </w:p>
          <w:p w14:paraId="4CEC5FA3">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技术部分F2：</w:t>
            </w:r>
            <w:r>
              <w:rPr>
                <w:rFonts w:hint="eastAsia" w:ascii="宋体" w:hAnsi="宋体" w:cs="宋体"/>
                <w:sz w:val="28"/>
                <w:szCs w:val="28"/>
                <w:lang w:val="en-US" w:eastAsia="zh-CN"/>
              </w:rPr>
              <w:t>65</w:t>
            </w:r>
            <w:r>
              <w:rPr>
                <w:rFonts w:hint="eastAsia" w:ascii="宋体" w:hAnsi="宋体" w:eastAsia="宋体" w:cs="宋体"/>
                <w:sz w:val="28"/>
                <w:szCs w:val="28"/>
                <w:lang w:val="en-US" w:eastAsia="zh-CN"/>
              </w:rPr>
              <w:t>分。</w:t>
            </w:r>
          </w:p>
          <w:p w14:paraId="517D4C5F">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商务部分F3：2</w:t>
            </w:r>
            <w:r>
              <w:rPr>
                <w:rFonts w:hint="eastAsia" w:ascii="宋体" w:hAnsi="宋体" w:cs="宋体"/>
                <w:sz w:val="28"/>
                <w:szCs w:val="28"/>
                <w:lang w:val="en-US" w:eastAsia="zh-CN"/>
              </w:rPr>
              <w:t>5</w:t>
            </w:r>
            <w:r>
              <w:rPr>
                <w:rFonts w:hint="eastAsia" w:ascii="宋体" w:hAnsi="宋体" w:eastAsia="宋体" w:cs="宋体"/>
                <w:sz w:val="28"/>
                <w:szCs w:val="28"/>
                <w:lang w:val="en-US" w:eastAsia="zh-CN"/>
              </w:rPr>
              <w:t>分。</w:t>
            </w:r>
          </w:p>
        </w:tc>
      </w:tr>
      <w:tr w14:paraId="16C39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0" w:type="dxa"/>
            <w:vAlign w:val="center"/>
          </w:tcPr>
          <w:p w14:paraId="58F92376">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报价得分F1</w:t>
            </w:r>
          </w:p>
          <w:p w14:paraId="156589D5">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（满分10分）</w:t>
            </w:r>
          </w:p>
        </w:tc>
        <w:tc>
          <w:tcPr>
            <w:tcW w:w="7811" w:type="dxa"/>
            <w:gridSpan w:val="2"/>
          </w:tcPr>
          <w:p w14:paraId="2FED7592">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报价得分采用低价优先法计算，即满足文件要求且价格最低的报价为评标基准价，其价格为满分。其他人的价格分统一按照下列公式计算：</w:t>
            </w:r>
          </w:p>
          <w:p w14:paraId="286F6978">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bookmarkStart w:id="80" w:name="_GoBack"/>
            <w:bookmarkEnd w:id="80"/>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报价计算公式=评价基准价/</w:t>
            </w: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报价×10</w:t>
            </w:r>
          </w:p>
          <w:p w14:paraId="093CA0DB">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即：F1=[C/(B1,B2,....,Bn)]×10</w:t>
            </w:r>
          </w:p>
          <w:p w14:paraId="46C4E388">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注：C为评标基准价，即审查合格且</w:t>
            </w: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价格最低的有效报价，B1，B2，....,Bn为第n个审查合格的有效报价。</w:t>
            </w:r>
          </w:p>
          <w:p w14:paraId="787559AE">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注：本项目针对小微企业或残疾人福利性单位的报价给予20%的扣除，用扣除后的价格参与评审，残疾人福利性质单位属于小微企业的，不重复享受政策。</w:t>
            </w:r>
          </w:p>
        </w:tc>
      </w:tr>
      <w:tr w14:paraId="51D9A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0" w:type="dxa"/>
            <w:vAlign w:val="center"/>
          </w:tcPr>
          <w:p w14:paraId="6FA774DF">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技术部分得分F2</w:t>
            </w:r>
          </w:p>
          <w:p w14:paraId="42BD3D9A">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（满分</w:t>
            </w:r>
            <w:r>
              <w:rPr>
                <w:rFonts w:hint="eastAsia" w:ascii="宋体" w:hAnsi="宋体" w:cs="宋体"/>
                <w:sz w:val="28"/>
                <w:szCs w:val="28"/>
                <w:lang w:val="en-US" w:eastAsia="zh-CN"/>
              </w:rPr>
              <w:t>65</w:t>
            </w:r>
            <w:r>
              <w:rPr>
                <w:rFonts w:hint="eastAsia" w:ascii="宋体" w:hAnsi="宋体" w:eastAsia="宋体" w:cs="宋体"/>
                <w:sz w:val="28"/>
                <w:szCs w:val="28"/>
                <w:lang w:val="en-US" w:eastAsia="zh-CN"/>
              </w:rPr>
              <w:t>分）</w:t>
            </w:r>
          </w:p>
        </w:tc>
        <w:tc>
          <w:tcPr>
            <w:tcW w:w="1637" w:type="dxa"/>
            <w:vAlign w:val="center"/>
          </w:tcPr>
          <w:p w14:paraId="033CF310">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现场演示</w:t>
            </w:r>
          </w:p>
          <w:p w14:paraId="37696E58">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（满分35分）</w:t>
            </w:r>
          </w:p>
        </w:tc>
        <w:tc>
          <w:tcPr>
            <w:tcW w:w="6174" w:type="dxa"/>
          </w:tcPr>
          <w:p w14:paraId="34F03CF9">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 xml:space="preserve">①竞争性采购方式现场演示（满分 </w:t>
            </w:r>
            <w:r>
              <w:rPr>
                <w:rFonts w:hint="eastAsia" w:ascii="宋体" w:hAnsi="宋体" w:cs="宋体"/>
                <w:b/>
                <w:bCs/>
                <w:sz w:val="28"/>
                <w:szCs w:val="28"/>
                <w:lang w:val="en-US" w:eastAsia="zh-CN"/>
              </w:rPr>
              <w:t>15</w:t>
            </w:r>
            <w:r>
              <w:rPr>
                <w:rFonts w:hint="eastAsia" w:ascii="宋体" w:hAnsi="宋体" w:eastAsia="宋体" w:cs="宋体"/>
                <w:b/>
                <w:bCs/>
                <w:sz w:val="28"/>
                <w:szCs w:val="28"/>
                <w:lang w:val="en-US" w:eastAsia="zh-CN"/>
              </w:rPr>
              <w:t xml:space="preserve"> 分）</w:t>
            </w:r>
            <w:r>
              <w:rPr>
                <w:rFonts w:hint="eastAsia" w:ascii="宋体" w:hAnsi="宋体" w:eastAsia="宋体" w:cs="宋体"/>
                <w:sz w:val="28"/>
                <w:szCs w:val="28"/>
                <w:lang w:val="en-US" w:eastAsia="zh-CN"/>
              </w:rPr>
              <w:t xml:space="preserve"> </w:t>
            </w:r>
          </w:p>
          <w:p w14:paraId="7AA11137">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人应在电子化交易系统中采用竞争性采购方式进行现场演示。演示过程应至少包含竞争性文件编制、响应点设置、竞争性文件审核、获取竞争性文件、响应文件制作、响应文件上传、开启解密、竞争性小组签到、专家在线评审和、 评分汇总、退回评审、评审报告签字、采购结果生成、 采购结果确认、成交通知书发送共计十五项功能，电子化交易系统完全满足采购文件中相应功能要求的得15分，演示每出现一项不满足扣1分，扣完为止。</w:t>
            </w:r>
          </w:p>
          <w:p w14:paraId="7C569FAE">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 xml:space="preserve"> ②采购方式现场演示（满分6分）</w:t>
            </w:r>
          </w:p>
          <w:p w14:paraId="3B1B34C8">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人应在电子化交易系统中对公开招标、邀请招标、竞争性谈判、询价、单一来源采购、框架协议采购（第一阶段）共计六种采购方式进行现场演示，电子化交易系统完全支持六种采购方式的得6分，缺少任何一种采购方式，本项不得分。</w:t>
            </w:r>
          </w:p>
          <w:p w14:paraId="5D21A1F4">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③支持采购人、代理机构、供应商</w:t>
            </w:r>
            <w:r>
              <w:rPr>
                <w:rFonts w:hint="eastAsia" w:ascii="宋体" w:hAnsi="宋体" w:cs="宋体"/>
                <w:b/>
                <w:bCs/>
                <w:sz w:val="28"/>
                <w:szCs w:val="28"/>
                <w:lang w:val="en-US" w:eastAsia="zh-CN"/>
              </w:rPr>
              <w:t>的</w:t>
            </w:r>
            <w:r>
              <w:rPr>
                <w:rFonts w:hint="eastAsia" w:ascii="宋体" w:hAnsi="宋体" w:eastAsia="宋体" w:cs="宋体"/>
                <w:b/>
                <w:bCs/>
                <w:sz w:val="28"/>
                <w:szCs w:val="28"/>
                <w:lang w:val="en-US" w:eastAsia="zh-CN"/>
              </w:rPr>
              <w:t>各类采购交易系统间 CA 锁实现互认。得3分。</w:t>
            </w:r>
          </w:p>
          <w:p w14:paraId="66E4BB57">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不能实现1 处，本项不得分。</w:t>
            </w:r>
          </w:p>
          <w:p w14:paraId="7E6358D7">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④查询统计分析现场演示（满分6分）</w:t>
            </w:r>
          </w:p>
          <w:p w14:paraId="2CBE1529">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人在电子化交易系统中对电子卖场、框架协议采购数据进行查询统计分析。</w:t>
            </w:r>
          </w:p>
          <w:p w14:paraId="1284C563">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不能查询则本项不得分。</w:t>
            </w:r>
          </w:p>
          <w:p w14:paraId="126D8A67">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⑤电子化交易系统易用性评审评分</w:t>
            </w:r>
          </w:p>
          <w:p w14:paraId="5019B077">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（满分 5 分）根据</w:t>
            </w: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 xml:space="preserve">人现场演示的电子化交易系统易用性情况进行评审评分： </w:t>
            </w:r>
          </w:p>
          <w:p w14:paraId="1553EDC3">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1）电子化交易系统界面简洁美观得 1 分； </w:t>
            </w:r>
          </w:p>
          <w:p w14:paraId="5C87A3EB">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2）电子化交易系统功能布局合理得 1 分；</w:t>
            </w:r>
          </w:p>
          <w:p w14:paraId="63C81552">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3）电子化交易系统操作逻辑清晰得 1 分；</w:t>
            </w:r>
          </w:p>
          <w:p w14:paraId="75E4C108">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4）电子化交易系统人机交互流畅得 1 分；</w:t>
            </w:r>
          </w:p>
          <w:p w14:paraId="12D32054">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5）电子化交易系统提示信息准确得 1 分； </w:t>
            </w:r>
          </w:p>
          <w:p w14:paraId="1D898987">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黑体" w:hAnsi="黑体" w:eastAsia="黑体" w:cs="黑体"/>
                <w:b/>
                <w:bCs/>
                <w:sz w:val="28"/>
                <w:szCs w:val="28"/>
                <w:lang w:val="en-US" w:eastAsia="zh-CN"/>
              </w:rPr>
              <w:t>现场演示要求如下：</w:t>
            </w:r>
            <w:r>
              <w:rPr>
                <w:rFonts w:hint="eastAsia" w:ascii="宋体" w:hAnsi="宋体" w:eastAsia="宋体" w:cs="宋体"/>
                <w:sz w:val="28"/>
                <w:szCs w:val="28"/>
                <w:lang w:val="en-US" w:eastAsia="zh-CN"/>
              </w:rPr>
              <w:t xml:space="preserve"> </w:t>
            </w:r>
          </w:p>
          <w:p w14:paraId="0B0F7BC2">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 xml:space="preserve">人需自行携带现场演示所需设备，在指定地点自行搭建演示环境，未进行现场演示或以 PPT、视频、功能截图方式进行现场演示的不得分； </w:t>
            </w:r>
          </w:p>
          <w:p w14:paraId="537EEA5C">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2.现场演示时间（含准备时间）</w:t>
            </w:r>
            <w:r>
              <w:rPr>
                <w:rFonts w:hint="eastAsia" w:ascii="宋体" w:hAnsi="宋体" w:cs="宋体"/>
                <w:sz w:val="28"/>
                <w:szCs w:val="28"/>
                <w:lang w:val="en-US" w:eastAsia="zh-CN"/>
              </w:rPr>
              <w:t>限时</w:t>
            </w:r>
            <w:r>
              <w:rPr>
                <w:rFonts w:hint="eastAsia" w:ascii="宋体" w:hAnsi="宋体" w:eastAsia="宋体" w:cs="宋体"/>
                <w:sz w:val="28"/>
                <w:szCs w:val="28"/>
                <w:lang w:val="en-US" w:eastAsia="zh-CN"/>
              </w:rPr>
              <w:t xml:space="preserve"> </w:t>
            </w:r>
            <w:r>
              <w:rPr>
                <w:rFonts w:hint="eastAsia" w:ascii="宋体" w:hAnsi="宋体" w:cs="宋体"/>
                <w:sz w:val="28"/>
                <w:szCs w:val="28"/>
                <w:lang w:val="en-US" w:eastAsia="zh-CN"/>
              </w:rPr>
              <w:t>4</w:t>
            </w:r>
            <w:r>
              <w:rPr>
                <w:rFonts w:hint="eastAsia" w:ascii="宋体" w:hAnsi="宋体" w:eastAsia="宋体" w:cs="宋体"/>
                <w:sz w:val="28"/>
                <w:szCs w:val="28"/>
                <w:lang w:val="en-US" w:eastAsia="zh-CN"/>
              </w:rPr>
              <w:t>0 分钟（不含</w:t>
            </w:r>
            <w:r>
              <w:rPr>
                <w:rFonts w:hint="eastAsia" w:ascii="宋体" w:hAnsi="宋体" w:cs="宋体"/>
                <w:sz w:val="28"/>
                <w:szCs w:val="28"/>
                <w:lang w:val="en-US" w:eastAsia="zh-CN"/>
              </w:rPr>
              <w:t>磋商小组成员</w:t>
            </w:r>
            <w:r>
              <w:rPr>
                <w:rFonts w:hint="eastAsia" w:ascii="宋体" w:hAnsi="宋体" w:eastAsia="宋体" w:cs="宋体"/>
                <w:sz w:val="28"/>
                <w:szCs w:val="28"/>
                <w:lang w:val="en-US" w:eastAsia="zh-CN"/>
              </w:rPr>
              <w:t>提问时间），超过现场演示时间的不再进行演示，未演示部分不得分</w:t>
            </w:r>
            <w:r>
              <w:rPr>
                <w:rFonts w:hint="eastAsia" w:ascii="宋体" w:hAnsi="宋体" w:cs="宋体"/>
                <w:sz w:val="28"/>
                <w:szCs w:val="28"/>
                <w:lang w:val="en-US" w:eastAsia="zh-CN"/>
              </w:rPr>
              <w:t>；3.</w:t>
            </w:r>
            <w:r>
              <w:rPr>
                <w:rFonts w:hint="eastAsia" w:ascii="宋体" w:hAnsi="宋体" w:cs="宋体"/>
                <w:color w:val="auto"/>
                <w:kern w:val="0"/>
                <w:sz w:val="28"/>
                <w:szCs w:val="28"/>
                <w:highlight w:val="none"/>
              </w:rPr>
              <w:t>具体功能演示部分所使用的平台及功能均需为真实、成熟、在用的案例，不得采用原型、PPT、视频、截图等形式。采用原型、PPT、视频、截图等形式</w:t>
            </w:r>
            <w:r>
              <w:rPr>
                <w:rFonts w:hint="eastAsia" w:ascii="宋体" w:hAnsi="宋体" w:cs="宋体"/>
                <w:color w:val="auto"/>
                <w:kern w:val="0"/>
                <w:sz w:val="28"/>
                <w:szCs w:val="28"/>
                <w:highlight w:val="none"/>
                <w:lang w:val="en-US" w:eastAsia="zh-CN"/>
              </w:rPr>
              <w:t>演示，则本项不得分</w:t>
            </w:r>
            <w:r>
              <w:rPr>
                <w:rFonts w:hint="eastAsia" w:ascii="宋体" w:hAnsi="宋体" w:eastAsia="宋体" w:cs="宋体"/>
                <w:sz w:val="28"/>
                <w:szCs w:val="28"/>
                <w:lang w:val="en-US" w:eastAsia="zh-CN"/>
              </w:rPr>
              <w:t>；</w:t>
            </w:r>
          </w:p>
          <w:p w14:paraId="78AEBCCA">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3.演示中★项，有一项达不到要求，技术分全部分为0分。</w:t>
            </w:r>
          </w:p>
        </w:tc>
      </w:tr>
      <w:tr w14:paraId="6C3CB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0" w:type="dxa"/>
          </w:tcPr>
          <w:p w14:paraId="3F7071BF">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方正仿宋_GBK" w:hAnsi="方正仿宋_GBK" w:eastAsia="方正仿宋_GBK" w:cs="方正仿宋_GBK"/>
                <w:sz w:val="28"/>
                <w:szCs w:val="28"/>
                <w:vertAlign w:val="baseline"/>
                <w:lang w:val="en-US" w:eastAsia="zh-CN"/>
              </w:rPr>
            </w:pPr>
          </w:p>
        </w:tc>
        <w:tc>
          <w:tcPr>
            <w:tcW w:w="1637" w:type="dxa"/>
            <w:vAlign w:val="center"/>
          </w:tcPr>
          <w:p w14:paraId="5A34D193">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（2）团队人员配备 （满分 6分）</w:t>
            </w:r>
          </w:p>
        </w:tc>
        <w:tc>
          <w:tcPr>
            <w:tcW w:w="6174" w:type="dxa"/>
          </w:tcPr>
          <w:p w14:paraId="6CA7D6A1">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技术开发团队人员评审评分（满分6 分） </w:t>
            </w:r>
          </w:p>
          <w:p w14:paraId="6A458FFD">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 xml:space="preserve">人拟投入本项目的技术开发团队负责人具有高级计算机技术与软件专业技术资格（水平）证书得 2 分； </w:t>
            </w:r>
          </w:p>
          <w:p w14:paraId="76D9291F">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 xml:space="preserve">人拟投入本项目的技术开发团队人员中每配备一名具有中级及以上计算机技术与软件专业技术资格（水平）证书得 1 分，满分 4 分。 </w:t>
            </w:r>
          </w:p>
          <w:p w14:paraId="6A8D03D2">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注：</w:t>
            </w:r>
            <w:r>
              <w:rPr>
                <w:rFonts w:hint="eastAsia" w:ascii="宋体" w:hAnsi="宋体" w:cs="宋体"/>
                <w:b/>
                <w:bCs/>
                <w:sz w:val="28"/>
                <w:szCs w:val="28"/>
                <w:lang w:val="en-US" w:eastAsia="zh-CN"/>
              </w:rPr>
              <w:t>磋商</w:t>
            </w:r>
            <w:r>
              <w:rPr>
                <w:rFonts w:hint="eastAsia" w:ascii="宋体" w:hAnsi="宋体" w:eastAsia="宋体" w:cs="宋体"/>
                <w:b/>
                <w:bCs/>
                <w:sz w:val="28"/>
                <w:szCs w:val="28"/>
                <w:lang w:val="en-US" w:eastAsia="zh-CN"/>
              </w:rPr>
              <w:t>文件中须提供《团队人员配备表》及团队人员资料（复印件加盖投标人公章），包括：身份 证、毕业证、专业技术职业资格（资质）证书（如 有）、人员社保缴纳证明（缴纳单位为投标人本单位），未提供团队人员资料或提供的团队人员资料不齐全的不得分。</w:t>
            </w:r>
          </w:p>
        </w:tc>
      </w:tr>
      <w:tr w14:paraId="57547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0" w:type="dxa"/>
          </w:tcPr>
          <w:p w14:paraId="7ACCC9E2">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方正仿宋_GBK" w:hAnsi="方正仿宋_GBK" w:eastAsia="方正仿宋_GBK" w:cs="方正仿宋_GBK"/>
                <w:sz w:val="28"/>
                <w:szCs w:val="28"/>
                <w:vertAlign w:val="baseline"/>
                <w:lang w:val="en-US" w:eastAsia="zh-CN"/>
              </w:rPr>
            </w:pPr>
          </w:p>
        </w:tc>
        <w:tc>
          <w:tcPr>
            <w:tcW w:w="1637" w:type="dxa"/>
            <w:vAlign w:val="center"/>
          </w:tcPr>
          <w:p w14:paraId="646C004B">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vertAlign w:val="baseline"/>
                <w:lang w:val="en-US" w:eastAsia="zh-CN"/>
              </w:rPr>
            </w:pPr>
            <w:r>
              <w:rPr>
                <w:rFonts w:hint="eastAsia" w:ascii="宋体" w:hAnsi="宋体" w:eastAsia="宋体" w:cs="宋体"/>
                <w:sz w:val="28"/>
                <w:szCs w:val="28"/>
                <w:lang w:val="en-US" w:eastAsia="zh-CN"/>
              </w:rPr>
              <w:t>（3）电子化交易系统对接方案（满分10分）</w:t>
            </w:r>
          </w:p>
        </w:tc>
        <w:tc>
          <w:tcPr>
            <w:tcW w:w="6174" w:type="dxa"/>
          </w:tcPr>
          <w:p w14:paraId="04AD4212">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sz w:val="28"/>
                <w:szCs w:val="28"/>
                <w:lang w:val="en-US" w:eastAsia="zh-CN"/>
              </w:rPr>
            </w:pPr>
            <w:r>
              <w:rPr>
                <w:rFonts w:hint="eastAsia"/>
                <w:sz w:val="28"/>
                <w:szCs w:val="28"/>
                <w:lang w:val="en-US" w:eastAsia="zh-CN"/>
              </w:rPr>
              <w:t xml:space="preserve">根据磋商人提供的电子化交易系统对接方案进行评审（包括但不限于：电子化交易系统与云南省政府采购管理信息系统、电子卖场、框架协议、公共资源交易门禁系统、全省范围无差别远程异地评审的对接方案，方案内容应当涵盖对接人员安排、技术支持等）。 </w:t>
            </w:r>
          </w:p>
          <w:p w14:paraId="0CE9364D">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sz w:val="28"/>
                <w:szCs w:val="28"/>
                <w:lang w:val="en-US" w:eastAsia="zh-CN"/>
              </w:rPr>
            </w:pPr>
            <w:r>
              <w:rPr>
                <w:rFonts w:hint="eastAsia"/>
                <w:sz w:val="28"/>
                <w:szCs w:val="28"/>
                <w:lang w:val="en-US" w:eastAsia="zh-CN"/>
              </w:rPr>
              <w:t>方案内容详细完整，安排合理、切实可行，且有说服力，符合本项目采购需求，计10分；</w:t>
            </w:r>
          </w:p>
          <w:p w14:paraId="7D463B12">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sz w:val="28"/>
                <w:szCs w:val="28"/>
                <w:lang w:val="en-US" w:eastAsia="zh-CN"/>
              </w:rPr>
            </w:pPr>
            <w:r>
              <w:rPr>
                <w:rFonts w:hint="eastAsia"/>
                <w:sz w:val="28"/>
                <w:szCs w:val="28"/>
                <w:lang w:val="en-US" w:eastAsia="zh-CN"/>
              </w:rPr>
              <w:t>对接方案不全面或不合理、可行性差、说服力差，每处扣2分，扣完为止；</w:t>
            </w:r>
          </w:p>
          <w:p w14:paraId="46272835">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lang w:val="en-US" w:eastAsia="zh-CN"/>
              </w:rPr>
            </w:pPr>
            <w:r>
              <w:rPr>
                <w:rFonts w:hint="eastAsia"/>
                <w:sz w:val="28"/>
                <w:szCs w:val="28"/>
                <w:lang w:val="en-US" w:eastAsia="zh-CN"/>
              </w:rPr>
              <w:t>方案内容存在缺项漏项或不能实现其中一项，则本项不得分；</w:t>
            </w:r>
          </w:p>
          <w:p w14:paraId="1E3765BA">
            <w:pPr>
              <w:pStyle w:val="98"/>
              <w:ind w:left="0" w:leftChars="0" w:firstLine="0" w:firstLineChars="0"/>
              <w:rPr>
                <w:rFonts w:hint="default"/>
                <w:lang w:val="en-US" w:eastAsia="zh-CN"/>
              </w:rPr>
            </w:pPr>
            <w:r>
              <w:rPr>
                <w:rFonts w:hint="eastAsia" w:ascii="宋体" w:hAnsi="宋体" w:eastAsia="宋体" w:cs="宋体"/>
                <w:sz w:val="28"/>
                <w:szCs w:val="28"/>
                <w:lang w:val="en-US" w:eastAsia="zh-CN"/>
              </w:rPr>
              <w:t>电子化交易系统与云南省政府采购管理信息系统、电子卖场</w:t>
            </w:r>
            <w:r>
              <w:rPr>
                <w:rFonts w:hint="eastAsia" w:ascii="宋体" w:hAnsi="宋体" w:cs="宋体"/>
                <w:sz w:val="28"/>
                <w:szCs w:val="28"/>
                <w:lang w:val="en-US" w:eastAsia="zh-CN"/>
              </w:rPr>
              <w:t>（</w:t>
            </w:r>
            <w:r>
              <w:rPr>
                <w:rFonts w:hint="eastAsia" w:ascii="宋体" w:hAnsi="宋体" w:eastAsia="宋体" w:cs="宋体"/>
                <w:sz w:val="28"/>
                <w:szCs w:val="28"/>
                <w:lang w:val="en-US" w:eastAsia="zh-CN"/>
              </w:rPr>
              <w:t>框架协议</w:t>
            </w:r>
            <w:r>
              <w:rPr>
                <w:rFonts w:hint="eastAsia" w:ascii="宋体" w:hAnsi="宋体" w:cs="宋体"/>
                <w:sz w:val="28"/>
                <w:szCs w:val="28"/>
                <w:lang w:val="en-US" w:eastAsia="zh-CN"/>
              </w:rPr>
              <w:t>）</w:t>
            </w:r>
            <w:r>
              <w:rPr>
                <w:rFonts w:hint="eastAsia" w:ascii="宋体" w:hAnsi="宋体" w:eastAsia="宋体" w:cs="宋体"/>
                <w:sz w:val="28"/>
                <w:szCs w:val="28"/>
                <w:lang w:val="en-US" w:eastAsia="zh-CN"/>
              </w:rPr>
              <w:t>、</w:t>
            </w:r>
            <w:r>
              <w:rPr>
                <w:rFonts w:hint="eastAsia" w:ascii="宋体" w:hAnsi="宋体" w:eastAsia="宋体" w:cs="宋体"/>
                <w:b w:val="0"/>
                <w:bCs w:val="0"/>
                <w:sz w:val="28"/>
                <w:szCs w:val="28"/>
                <w:lang w:val="en-US" w:eastAsia="zh-CN"/>
              </w:rPr>
              <w:t>公共资源交易门禁系统</w:t>
            </w:r>
            <w:r>
              <w:rPr>
                <w:rFonts w:hint="eastAsia" w:ascii="宋体" w:hAnsi="宋体" w:cs="宋体"/>
                <w:b w:val="0"/>
                <w:bCs w:val="0"/>
                <w:sz w:val="28"/>
                <w:szCs w:val="28"/>
                <w:lang w:val="en-US" w:eastAsia="zh-CN"/>
              </w:rPr>
              <w:t>不能在1 个月内完成，本项不得分。</w:t>
            </w:r>
          </w:p>
        </w:tc>
      </w:tr>
      <w:tr w14:paraId="1B1ED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0" w:type="dxa"/>
          </w:tcPr>
          <w:p w14:paraId="30F0BBB2">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方正仿宋_GBK" w:hAnsi="方正仿宋_GBK" w:eastAsia="方正仿宋_GBK" w:cs="方正仿宋_GBK"/>
                <w:sz w:val="24"/>
                <w:szCs w:val="24"/>
                <w:lang w:val="en-US" w:eastAsia="zh-CN"/>
              </w:rPr>
            </w:pPr>
          </w:p>
        </w:tc>
        <w:tc>
          <w:tcPr>
            <w:tcW w:w="1637" w:type="dxa"/>
            <w:vAlign w:val="center"/>
          </w:tcPr>
          <w:p w14:paraId="7DB4AB5B">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（4）系统构架方案（</w:t>
            </w:r>
            <w:r>
              <w:rPr>
                <w:rFonts w:hint="eastAsia" w:ascii="宋体" w:hAnsi="宋体" w:cs="宋体"/>
                <w:sz w:val="28"/>
                <w:szCs w:val="28"/>
                <w:lang w:val="en-US" w:eastAsia="zh-CN"/>
              </w:rPr>
              <w:t>8</w:t>
            </w:r>
            <w:r>
              <w:rPr>
                <w:rFonts w:hint="eastAsia" w:ascii="宋体" w:hAnsi="宋体" w:eastAsia="宋体" w:cs="宋体"/>
                <w:sz w:val="28"/>
                <w:szCs w:val="28"/>
                <w:lang w:val="en-US" w:eastAsia="zh-CN"/>
              </w:rPr>
              <w:t>分）</w:t>
            </w:r>
          </w:p>
        </w:tc>
        <w:tc>
          <w:tcPr>
            <w:tcW w:w="6174" w:type="dxa"/>
          </w:tcPr>
          <w:p w14:paraId="668CBEC1">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人需根据采购需求提供电子化交易系统构架方案</w:t>
            </w:r>
            <w:r>
              <w:rPr>
                <w:rFonts w:hint="eastAsia" w:ascii="宋体" w:hAnsi="宋体" w:cs="宋体"/>
                <w:sz w:val="28"/>
                <w:szCs w:val="28"/>
                <w:lang w:val="en-US" w:eastAsia="zh-CN"/>
              </w:rPr>
              <w:t>，</w:t>
            </w:r>
            <w:r>
              <w:rPr>
                <w:rFonts w:hint="eastAsia" w:ascii="宋体" w:hAnsi="宋体" w:cs="宋体"/>
                <w:color w:val="auto"/>
                <w:kern w:val="0"/>
                <w:sz w:val="28"/>
                <w:szCs w:val="28"/>
                <w:highlight w:val="none"/>
              </w:rPr>
              <w:t>内容包括但不限于需求分析、系统部署、技术路线、平台架构、业务流程等维度。总体方案成熟度高、可行性强、需求分析完善、架构部署合理、技术路线先进、业务流程清晰，能够良好实现项目目标的，</w:t>
            </w:r>
            <w:r>
              <w:rPr>
                <w:rFonts w:hint="eastAsia" w:ascii="宋体" w:hAnsi="宋体" w:cs="宋体"/>
                <w:color w:val="auto"/>
                <w:kern w:val="0"/>
                <w:sz w:val="28"/>
                <w:szCs w:val="28"/>
                <w:highlight w:val="none"/>
                <w:lang w:val="en-US" w:eastAsia="zh-CN"/>
              </w:rPr>
              <w:t>实现在一个月内部署上线。</w:t>
            </w:r>
          </w:p>
          <w:p w14:paraId="465CC2D2">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构架方案内容详细完整，安排合理、切实可行，符合本项目采购需求，计</w:t>
            </w:r>
            <w:r>
              <w:rPr>
                <w:rFonts w:hint="eastAsia" w:ascii="宋体" w:hAnsi="宋体" w:cs="宋体"/>
                <w:sz w:val="28"/>
                <w:szCs w:val="28"/>
                <w:lang w:val="en-US" w:eastAsia="zh-CN"/>
              </w:rPr>
              <w:t>8</w:t>
            </w:r>
            <w:r>
              <w:rPr>
                <w:rFonts w:hint="eastAsia" w:ascii="宋体" w:hAnsi="宋体" w:eastAsia="宋体" w:cs="宋体"/>
                <w:sz w:val="28"/>
                <w:szCs w:val="28"/>
                <w:lang w:val="en-US" w:eastAsia="zh-CN"/>
              </w:rPr>
              <w:t>分；方案内容存在缺项漏项，不全面或不合理的，每处扣1分，扣完为止</w:t>
            </w:r>
            <w:r>
              <w:rPr>
                <w:rFonts w:hint="eastAsia" w:ascii="宋体" w:hAnsi="宋体" w:cs="宋体"/>
                <w:sz w:val="28"/>
                <w:szCs w:val="28"/>
                <w:lang w:val="en-US" w:eastAsia="zh-CN"/>
              </w:rPr>
              <w:t>；不能</w:t>
            </w:r>
            <w:r>
              <w:rPr>
                <w:rFonts w:hint="eastAsia" w:ascii="宋体" w:hAnsi="宋体" w:cs="宋体"/>
                <w:color w:val="auto"/>
                <w:kern w:val="0"/>
                <w:sz w:val="28"/>
                <w:szCs w:val="28"/>
                <w:highlight w:val="none"/>
                <w:lang w:val="en-US" w:eastAsia="zh-CN"/>
              </w:rPr>
              <w:t>实现在一个月内部署上线，本项不得分。</w:t>
            </w:r>
          </w:p>
        </w:tc>
      </w:tr>
      <w:tr w14:paraId="791D6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0" w:type="dxa"/>
          </w:tcPr>
          <w:p w14:paraId="78AE0A46">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方正仿宋_GBK" w:hAnsi="方正仿宋_GBK" w:eastAsia="方正仿宋_GBK" w:cs="方正仿宋_GBK"/>
                <w:sz w:val="24"/>
                <w:szCs w:val="24"/>
                <w:lang w:val="en-US" w:eastAsia="zh-CN"/>
              </w:rPr>
            </w:pPr>
          </w:p>
        </w:tc>
        <w:tc>
          <w:tcPr>
            <w:tcW w:w="1637" w:type="dxa"/>
            <w:vAlign w:val="center"/>
          </w:tcPr>
          <w:p w14:paraId="0C7E79FB">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w:t>
            </w:r>
            <w:r>
              <w:rPr>
                <w:rFonts w:hint="eastAsia" w:ascii="宋体" w:hAnsi="宋体" w:cs="宋体"/>
                <w:sz w:val="28"/>
                <w:szCs w:val="28"/>
                <w:lang w:val="en-US" w:eastAsia="zh-CN"/>
              </w:rPr>
              <w:t>5</w:t>
            </w:r>
            <w:r>
              <w:rPr>
                <w:rFonts w:hint="eastAsia" w:ascii="宋体" w:hAnsi="宋体" w:eastAsia="宋体" w:cs="宋体"/>
                <w:sz w:val="28"/>
                <w:szCs w:val="28"/>
                <w:lang w:val="en-US" w:eastAsia="zh-CN"/>
              </w:rPr>
              <w:t xml:space="preserve">）系统安全保障能力及措施 （满分 </w:t>
            </w:r>
            <w:r>
              <w:rPr>
                <w:rFonts w:hint="eastAsia" w:ascii="宋体" w:hAnsi="宋体" w:cs="宋体"/>
                <w:sz w:val="28"/>
                <w:szCs w:val="28"/>
                <w:lang w:val="en-US" w:eastAsia="zh-CN"/>
              </w:rPr>
              <w:t>6</w:t>
            </w:r>
            <w:r>
              <w:rPr>
                <w:rFonts w:hint="eastAsia" w:ascii="宋体" w:hAnsi="宋体" w:eastAsia="宋体" w:cs="宋体"/>
                <w:sz w:val="28"/>
                <w:szCs w:val="28"/>
                <w:lang w:val="en-US" w:eastAsia="zh-CN"/>
              </w:rPr>
              <w:t xml:space="preserve"> 分）</w:t>
            </w:r>
          </w:p>
        </w:tc>
        <w:tc>
          <w:tcPr>
            <w:tcW w:w="6174" w:type="dxa"/>
          </w:tcPr>
          <w:p w14:paraId="17A5CD28">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①根据</w:t>
            </w: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 xml:space="preserve">人的系统安全保障能力及措施进行评审（包括但不限于：安全防护措施、安全架构和机制、 商用密码运用、用户隐私保护、实时监测、发现、处理功能、数据信息保护及处理、突发应急问题紧急处理机制）。 </w:t>
            </w:r>
          </w:p>
          <w:p w14:paraId="03FACE2D">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内容详细完整，安排合理、切实可行，符合本项目采购需求的，计</w:t>
            </w:r>
            <w:r>
              <w:rPr>
                <w:rFonts w:hint="eastAsia" w:ascii="宋体" w:hAnsi="宋体" w:cs="宋体"/>
                <w:sz w:val="28"/>
                <w:szCs w:val="28"/>
                <w:lang w:val="en-US" w:eastAsia="zh-CN"/>
              </w:rPr>
              <w:t>4</w:t>
            </w:r>
            <w:r>
              <w:rPr>
                <w:rFonts w:hint="eastAsia" w:ascii="宋体" w:hAnsi="宋体" w:eastAsia="宋体" w:cs="宋体"/>
                <w:sz w:val="28"/>
                <w:szCs w:val="28"/>
                <w:lang w:val="en-US" w:eastAsia="zh-CN"/>
              </w:rPr>
              <w:t xml:space="preserve"> 分；方案内容存在缺项漏项，不全面或不合理的，每处扣 1 分，扣完为止。</w:t>
            </w:r>
          </w:p>
          <w:p w14:paraId="2A4F68EA">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②系统建设符合信息系统安全三级等保要求，</w:t>
            </w:r>
            <w:r>
              <w:rPr>
                <w:rFonts w:hint="eastAsia" w:ascii="宋体" w:hAnsi="宋体" w:cs="宋体"/>
                <w:sz w:val="28"/>
                <w:szCs w:val="28"/>
                <w:lang w:val="en-US" w:eastAsia="zh-CN"/>
              </w:rPr>
              <w:t>并</w:t>
            </w:r>
            <w:r>
              <w:rPr>
                <w:rFonts w:hint="eastAsia" w:ascii="宋体" w:hAnsi="宋体" w:eastAsia="宋体" w:cs="宋体"/>
                <w:sz w:val="28"/>
                <w:szCs w:val="28"/>
                <w:lang w:val="en-US" w:eastAsia="zh-CN"/>
              </w:rPr>
              <w:t>提供书面承诺得 2 分。</w:t>
            </w:r>
          </w:p>
        </w:tc>
      </w:tr>
      <w:tr w14:paraId="49AB5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1690" w:type="dxa"/>
            <w:vAlign w:val="center"/>
          </w:tcPr>
          <w:p w14:paraId="0F0F169E">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商务部分分F3 （满分 2</w:t>
            </w:r>
            <w:r>
              <w:rPr>
                <w:rFonts w:hint="eastAsia" w:ascii="宋体" w:hAnsi="宋体" w:cs="宋体"/>
                <w:sz w:val="28"/>
                <w:szCs w:val="28"/>
                <w:lang w:val="en-US" w:eastAsia="zh-CN"/>
              </w:rPr>
              <w:t>5</w:t>
            </w:r>
            <w:r>
              <w:rPr>
                <w:rFonts w:hint="eastAsia" w:ascii="宋体" w:hAnsi="宋体" w:eastAsia="宋体" w:cs="宋体"/>
                <w:sz w:val="28"/>
                <w:szCs w:val="28"/>
                <w:lang w:val="en-US" w:eastAsia="zh-CN"/>
              </w:rPr>
              <w:t>分）</w:t>
            </w:r>
          </w:p>
        </w:tc>
        <w:tc>
          <w:tcPr>
            <w:tcW w:w="1637" w:type="dxa"/>
            <w:vAlign w:val="center"/>
          </w:tcPr>
          <w:p w14:paraId="0E2F5874">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（1）时间进度计划安排（满分5分）</w:t>
            </w:r>
          </w:p>
        </w:tc>
        <w:tc>
          <w:tcPr>
            <w:tcW w:w="6174" w:type="dxa"/>
          </w:tcPr>
          <w:p w14:paraId="25DBA78D">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w:t>
            </w: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人的时间进度计划安排进行评审（包括但不限于：时间进度计划表、时间进度计划保障措施）。</w:t>
            </w:r>
          </w:p>
          <w:p w14:paraId="60E37E8B">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内容详细完整，安排合理、切实可行，符合本项目采购需求的，计5分；方案内容存在缺项漏项，不全面或不合理的，每处扣 1 分，扣完为止</w:t>
            </w:r>
            <w:r>
              <w:rPr>
                <w:rFonts w:hint="eastAsia" w:ascii="宋体" w:hAnsi="宋体" w:cs="宋体"/>
                <w:sz w:val="28"/>
                <w:szCs w:val="28"/>
                <w:lang w:val="en-US" w:eastAsia="zh-CN"/>
              </w:rPr>
              <w:t>。</w:t>
            </w:r>
          </w:p>
        </w:tc>
      </w:tr>
      <w:tr w14:paraId="07AA3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0" w:type="dxa"/>
          </w:tcPr>
          <w:p w14:paraId="1E151BEA">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vertAlign w:val="baseline"/>
                <w:lang w:val="en-US" w:eastAsia="zh-CN"/>
              </w:rPr>
            </w:pPr>
          </w:p>
        </w:tc>
        <w:tc>
          <w:tcPr>
            <w:tcW w:w="1637" w:type="dxa"/>
            <w:vAlign w:val="center"/>
          </w:tcPr>
          <w:p w14:paraId="2E929F05">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（2）培训方案（满 分 5分）</w:t>
            </w:r>
          </w:p>
        </w:tc>
        <w:tc>
          <w:tcPr>
            <w:tcW w:w="6174" w:type="dxa"/>
          </w:tcPr>
          <w:p w14:paraId="335A5604">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vertAlign w:val="baseline"/>
                <w:lang w:val="en-US" w:eastAsia="zh-CN"/>
              </w:rPr>
            </w:pPr>
            <w:r>
              <w:rPr>
                <w:rFonts w:hint="eastAsia" w:ascii="宋体" w:hAnsi="宋体" w:eastAsia="宋体" w:cs="宋体"/>
                <w:sz w:val="28"/>
                <w:szCs w:val="28"/>
                <w:lang w:val="en-US" w:eastAsia="zh-CN"/>
              </w:rPr>
              <w:t>根据</w:t>
            </w: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人提供的培训方案进行评审（包括但不限于：培训方式、培训计划、培训内容、培训课件）。 内容详细完整，安排合理、切实可行，符合本项目采 购需求的，计 5分；方案内容存在缺项漏项不全面或不合理的，每处扣1分，扣完为止。</w:t>
            </w:r>
          </w:p>
        </w:tc>
      </w:tr>
      <w:tr w14:paraId="5FFE2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0" w:type="dxa"/>
          </w:tcPr>
          <w:p w14:paraId="3ECCED65">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vertAlign w:val="baseline"/>
                <w:lang w:val="en-US" w:eastAsia="zh-CN"/>
              </w:rPr>
            </w:pPr>
          </w:p>
        </w:tc>
        <w:tc>
          <w:tcPr>
            <w:tcW w:w="1637" w:type="dxa"/>
            <w:vAlign w:val="center"/>
          </w:tcPr>
          <w:p w14:paraId="0FEF0842">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（3）类似项目业绩（满分 10分）</w:t>
            </w:r>
          </w:p>
        </w:tc>
        <w:tc>
          <w:tcPr>
            <w:tcW w:w="6174" w:type="dxa"/>
          </w:tcPr>
          <w:p w14:paraId="638B8160">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w:t>
            </w: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人自本项目</w:t>
            </w: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文件提交截止时间前已完成或正在实施过程中的类似项目业绩进行评价打分。</w:t>
            </w:r>
          </w:p>
          <w:p w14:paraId="1D0BBD77">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人每提供一个市级及以上政府采购类电子化交易系统建设项目业绩得2分</w:t>
            </w:r>
            <w:r>
              <w:rPr>
                <w:rFonts w:hint="eastAsia" w:ascii="宋体" w:hAnsi="宋体" w:eastAsia="宋体" w:cs="宋体"/>
                <w:b w:val="0"/>
                <w:bCs w:val="0"/>
                <w:sz w:val="28"/>
                <w:szCs w:val="28"/>
                <w:lang w:val="en-US" w:eastAsia="zh-CN"/>
              </w:rPr>
              <w:t xml:space="preserve">，满分4分。 </w:t>
            </w:r>
          </w:p>
          <w:p w14:paraId="4BF51A22">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人每提供一个政府采购电子化交易系统与政府采购管理系统对接成功案例得1分，满分3分.</w:t>
            </w:r>
          </w:p>
          <w:p w14:paraId="128BB86F">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w:t>
            </w: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 xml:space="preserve">人每提供一个政府采购电子化交易系统与电子卖场对接成功案例得1分，满分3分。 </w:t>
            </w:r>
          </w:p>
          <w:p w14:paraId="09C56043">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vertAlign w:val="baseline"/>
                <w:lang w:val="en-US" w:eastAsia="zh-CN"/>
              </w:rPr>
            </w:pPr>
            <w:r>
              <w:rPr>
                <w:rFonts w:hint="eastAsia" w:ascii="宋体" w:hAnsi="宋体" w:eastAsia="宋体" w:cs="宋体"/>
                <w:b/>
                <w:bCs/>
                <w:sz w:val="28"/>
                <w:szCs w:val="28"/>
                <w:lang w:val="en-US" w:eastAsia="zh-CN"/>
              </w:rPr>
              <w:t>注：</w:t>
            </w:r>
            <w:r>
              <w:rPr>
                <w:rFonts w:hint="eastAsia" w:ascii="宋体" w:hAnsi="宋体" w:cs="宋体"/>
                <w:b/>
                <w:bCs/>
                <w:sz w:val="28"/>
                <w:szCs w:val="28"/>
                <w:lang w:val="en-US" w:eastAsia="zh-CN"/>
              </w:rPr>
              <w:t>磋商</w:t>
            </w:r>
            <w:r>
              <w:rPr>
                <w:rFonts w:hint="eastAsia" w:ascii="宋体" w:hAnsi="宋体" w:eastAsia="宋体" w:cs="宋体"/>
                <w:b/>
                <w:bCs/>
                <w:sz w:val="28"/>
                <w:szCs w:val="28"/>
                <w:lang w:val="en-US" w:eastAsia="zh-CN"/>
              </w:rPr>
              <w:t>文件中须提供类似项目业绩列表及相对应的类似项目业绩证明材料（复印件加盖</w:t>
            </w:r>
            <w:r>
              <w:rPr>
                <w:rFonts w:hint="eastAsia" w:ascii="宋体" w:hAnsi="宋体" w:cs="宋体"/>
                <w:b/>
                <w:bCs/>
                <w:sz w:val="28"/>
                <w:szCs w:val="28"/>
                <w:lang w:val="en-US" w:eastAsia="zh-CN"/>
              </w:rPr>
              <w:t>磋商</w:t>
            </w:r>
            <w:r>
              <w:rPr>
                <w:rFonts w:hint="eastAsia" w:ascii="宋体" w:hAnsi="宋体" w:eastAsia="宋体" w:cs="宋体"/>
                <w:b/>
                <w:bCs/>
                <w:sz w:val="28"/>
                <w:szCs w:val="28"/>
                <w:lang w:val="en-US" w:eastAsia="zh-CN"/>
              </w:rPr>
              <w:t>人公章），类似项目业绩证明材料为中标（成交）通知书或</w:t>
            </w:r>
            <w:r>
              <w:rPr>
                <w:rFonts w:hint="eastAsia" w:ascii="宋体" w:hAnsi="宋体" w:cs="宋体"/>
                <w:b/>
                <w:bCs/>
                <w:sz w:val="28"/>
                <w:szCs w:val="28"/>
                <w:lang w:val="en-US" w:eastAsia="zh-CN"/>
              </w:rPr>
              <w:t>磋商</w:t>
            </w:r>
            <w:r>
              <w:rPr>
                <w:rFonts w:hint="eastAsia" w:ascii="宋体" w:hAnsi="宋体" w:eastAsia="宋体" w:cs="宋体"/>
                <w:b/>
                <w:bCs/>
                <w:sz w:val="28"/>
                <w:szCs w:val="28"/>
                <w:lang w:val="en-US" w:eastAsia="zh-CN"/>
              </w:rPr>
              <w:t>人与用户单位签订的合同（须包含合同首页、标的所在页及合同签字盖章页），无证明材料或证明材料不明确、无法体现业绩内容的，不得分。</w:t>
            </w:r>
          </w:p>
        </w:tc>
      </w:tr>
      <w:tr w14:paraId="5F03E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0" w:type="dxa"/>
          </w:tcPr>
          <w:p w14:paraId="6115CD02">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vertAlign w:val="baseline"/>
                <w:lang w:val="en-US" w:eastAsia="zh-CN"/>
              </w:rPr>
            </w:pPr>
          </w:p>
        </w:tc>
        <w:tc>
          <w:tcPr>
            <w:tcW w:w="1637" w:type="dxa"/>
            <w:vAlign w:val="center"/>
          </w:tcPr>
          <w:p w14:paraId="075E2BBB">
            <w:pPr>
              <w:widowControl/>
              <w:jc w:val="center"/>
              <w:rPr>
                <w:rFonts w:hint="default" w:ascii="宋体" w:hAnsi="宋体" w:eastAsia="宋体" w:cs="宋体"/>
                <w:sz w:val="28"/>
                <w:szCs w:val="28"/>
                <w:lang w:val="en-US" w:eastAsia="zh-CN"/>
              </w:rPr>
            </w:pPr>
            <w:r>
              <w:rPr>
                <w:rFonts w:hint="eastAsia" w:ascii="宋体" w:hAnsi="宋体" w:cs="宋体"/>
                <w:color w:val="auto"/>
                <w:kern w:val="0"/>
                <w:sz w:val="28"/>
                <w:szCs w:val="28"/>
                <w:highlight w:val="none"/>
              </w:rPr>
              <w:t>运维保障方案</w:t>
            </w:r>
            <w:r>
              <w:rPr>
                <w:rFonts w:hint="eastAsia" w:ascii="宋体" w:hAnsi="宋体" w:cs="宋体"/>
                <w:color w:val="auto"/>
                <w:kern w:val="0"/>
                <w:sz w:val="28"/>
                <w:szCs w:val="28"/>
                <w:highlight w:val="none"/>
                <w:lang w:eastAsia="zh-CN"/>
              </w:rPr>
              <w:t>（</w:t>
            </w:r>
            <w:r>
              <w:rPr>
                <w:rFonts w:hint="eastAsia" w:ascii="宋体" w:hAnsi="宋体" w:cs="宋体"/>
                <w:color w:val="auto"/>
                <w:kern w:val="0"/>
                <w:sz w:val="28"/>
                <w:szCs w:val="28"/>
                <w:highlight w:val="none"/>
                <w:lang w:val="en-US" w:eastAsia="zh-CN"/>
              </w:rPr>
              <w:t>满分5分</w:t>
            </w:r>
          </w:p>
        </w:tc>
        <w:tc>
          <w:tcPr>
            <w:tcW w:w="6174" w:type="dxa"/>
            <w:vAlign w:val="center"/>
          </w:tcPr>
          <w:p w14:paraId="12D2FDFB">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cs="宋体"/>
                <w:color w:val="auto"/>
                <w:kern w:val="0"/>
                <w:sz w:val="28"/>
                <w:szCs w:val="28"/>
                <w:highlight w:val="none"/>
              </w:rPr>
            </w:pP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人</w:t>
            </w:r>
            <w:r>
              <w:rPr>
                <w:rFonts w:hint="eastAsia" w:ascii="宋体" w:hAnsi="宋体" w:cs="宋体"/>
                <w:sz w:val="28"/>
                <w:szCs w:val="28"/>
                <w:lang w:val="en-US" w:eastAsia="zh-CN"/>
              </w:rPr>
              <w:t>须</w:t>
            </w:r>
            <w:r>
              <w:rPr>
                <w:rFonts w:hint="eastAsia" w:ascii="宋体" w:hAnsi="宋体" w:cs="宋体"/>
                <w:color w:val="auto"/>
                <w:kern w:val="0"/>
                <w:sz w:val="28"/>
                <w:szCs w:val="28"/>
                <w:highlight w:val="none"/>
              </w:rPr>
              <w:t>提供针对本项目的运维保障方案，内容包括但不限于运维内容、运维流程、运维响应时间、应急处理预案等。</w:t>
            </w:r>
            <w:r>
              <w:rPr>
                <w:rFonts w:hint="eastAsia" w:ascii="宋体" w:hAnsi="宋体" w:eastAsia="宋体" w:cs="宋体"/>
                <w:sz w:val="28"/>
                <w:szCs w:val="28"/>
                <w:lang w:val="en-US" w:eastAsia="zh-CN"/>
              </w:rPr>
              <w:t>满分</w:t>
            </w:r>
            <w:r>
              <w:rPr>
                <w:rFonts w:hint="eastAsia" w:ascii="宋体" w:hAnsi="宋体" w:cs="宋体"/>
                <w:sz w:val="28"/>
                <w:szCs w:val="28"/>
                <w:lang w:val="en-US" w:eastAsia="zh-CN"/>
              </w:rPr>
              <w:t>5</w:t>
            </w:r>
            <w:r>
              <w:rPr>
                <w:rFonts w:hint="eastAsia" w:ascii="宋体" w:hAnsi="宋体" w:eastAsia="宋体" w:cs="宋体"/>
                <w:sz w:val="28"/>
                <w:szCs w:val="28"/>
                <w:lang w:val="en-US" w:eastAsia="zh-CN"/>
              </w:rPr>
              <w:t xml:space="preserve">分。 </w:t>
            </w:r>
          </w:p>
          <w:p w14:paraId="003E9C15">
            <w:pPr>
              <w:widowControl/>
              <w:jc w:val="left"/>
              <w:rPr>
                <w:rFonts w:hint="default" w:ascii="宋体" w:hAnsi="宋体" w:eastAsia="宋体" w:cs="宋体"/>
                <w:b/>
                <w:bCs/>
                <w:sz w:val="28"/>
                <w:szCs w:val="28"/>
                <w:lang w:val="en-US" w:eastAsia="zh-CN"/>
              </w:rPr>
            </w:pPr>
            <w:r>
              <w:rPr>
                <w:rFonts w:hint="eastAsia" w:ascii="宋体" w:hAnsi="宋体" w:cs="宋体"/>
                <w:color w:val="auto"/>
                <w:kern w:val="0"/>
                <w:sz w:val="28"/>
                <w:szCs w:val="28"/>
                <w:highlight w:val="none"/>
              </w:rPr>
              <w:t>根据方案是否完善细致、保障是否科学全面</w:t>
            </w:r>
            <w:r>
              <w:rPr>
                <w:rFonts w:hint="eastAsia" w:ascii="宋体" w:hAnsi="宋体" w:cs="宋体"/>
                <w:color w:val="auto"/>
                <w:kern w:val="0"/>
                <w:sz w:val="28"/>
                <w:szCs w:val="28"/>
                <w:highlight w:val="none"/>
                <w:lang w:eastAsia="zh-CN"/>
              </w:rPr>
              <w:t>，</w:t>
            </w:r>
            <w:r>
              <w:rPr>
                <w:rFonts w:hint="eastAsia" w:ascii="宋体" w:hAnsi="宋体" w:cs="宋体"/>
                <w:color w:val="auto"/>
                <w:kern w:val="0"/>
                <w:sz w:val="28"/>
                <w:szCs w:val="28"/>
                <w:highlight w:val="none"/>
              </w:rPr>
              <w:t>运维内容、运维流程、运维响应时间、应急处理预案</w:t>
            </w:r>
            <w:r>
              <w:rPr>
                <w:rFonts w:hint="eastAsia" w:ascii="宋体" w:hAnsi="宋体" w:cs="宋体"/>
                <w:color w:val="auto"/>
                <w:kern w:val="0"/>
                <w:sz w:val="28"/>
                <w:szCs w:val="28"/>
                <w:highlight w:val="none"/>
                <w:lang w:val="en-US" w:eastAsia="zh-CN"/>
              </w:rPr>
              <w:t>安排是否可行进行评分，满分3分；</w:t>
            </w:r>
            <w:r>
              <w:rPr>
                <w:rFonts w:hint="eastAsia" w:ascii="宋体" w:hAnsi="宋体" w:cs="宋体"/>
                <w:color w:val="auto"/>
                <w:kern w:val="0"/>
                <w:sz w:val="28"/>
                <w:szCs w:val="28"/>
                <w:highlight w:val="none"/>
              </w:rPr>
              <w:t>运维内容、运维流程、运维响应时间、应急处理预案</w:t>
            </w:r>
            <w:r>
              <w:rPr>
                <w:rFonts w:hint="eastAsia" w:ascii="宋体" w:hAnsi="宋体" w:cs="宋体"/>
                <w:color w:val="auto"/>
                <w:kern w:val="0"/>
                <w:sz w:val="28"/>
                <w:szCs w:val="28"/>
                <w:highlight w:val="none"/>
                <w:lang w:val="en-US" w:eastAsia="zh-CN"/>
              </w:rPr>
              <w:t>不合理或不可行，每处扣1分，扣完为止。</w:t>
            </w:r>
          </w:p>
        </w:tc>
      </w:tr>
    </w:tbl>
    <w:p w14:paraId="1D55DEA6">
      <w:pPr>
        <w:pStyle w:val="21"/>
        <w:outlineLvl w:val="1"/>
        <w:rPr>
          <w:rFonts w:hint="eastAsia" w:ascii="宋体" w:hAnsi="宋体" w:eastAsia="宋体" w:cs="宋体"/>
          <w:b/>
          <w:sz w:val="28"/>
          <w:szCs w:val="28"/>
        </w:rPr>
      </w:pPr>
      <w:bookmarkStart w:id="47" w:name="_Toc14800"/>
      <w:bookmarkStart w:id="48" w:name="_Toc9309"/>
    </w:p>
    <w:p w14:paraId="12971519">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三、授予合同</w:t>
      </w:r>
      <w:bookmarkEnd w:id="47"/>
      <w:bookmarkEnd w:id="48"/>
    </w:p>
    <w:p w14:paraId="6D4AFCF4">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1、成交通知书</w:t>
      </w:r>
    </w:p>
    <w:p w14:paraId="50D74549">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eastAsia"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val="en-US" w:eastAsia="zh-CN"/>
        </w:rPr>
        <w:t>1</w:t>
      </w:r>
      <w:r>
        <w:rPr>
          <w:rFonts w:hint="eastAsia"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成交后将由</w:t>
      </w:r>
      <w:r>
        <w:rPr>
          <w:rFonts w:hint="default" w:ascii="Times New Roman" w:hAnsi="Times New Roman" w:eastAsia="方正仿宋_GBK" w:cs="Times New Roman"/>
          <w:b w:val="0"/>
          <w:bCs/>
          <w:sz w:val="32"/>
          <w:szCs w:val="32"/>
          <w:lang w:eastAsia="zh-CN"/>
        </w:rPr>
        <w:t>曲靖市财政局</w:t>
      </w:r>
      <w:r>
        <w:rPr>
          <w:rFonts w:hint="default" w:ascii="Times New Roman" w:hAnsi="Times New Roman" w:eastAsia="方正仿宋_GBK" w:cs="Times New Roman"/>
          <w:b w:val="0"/>
          <w:bCs/>
          <w:sz w:val="32"/>
          <w:szCs w:val="32"/>
        </w:rPr>
        <w:t>根据评审结果签发《成交通知书》，据此签订</w:t>
      </w:r>
      <w:r>
        <w:rPr>
          <w:rFonts w:hint="default" w:ascii="Times New Roman" w:hAnsi="Times New Roman" w:eastAsia="方正仿宋_GBK" w:cs="Times New Roman"/>
          <w:b w:val="0"/>
          <w:bCs/>
          <w:sz w:val="32"/>
          <w:szCs w:val="32"/>
          <w:lang w:val="en-US" w:eastAsia="zh-CN"/>
        </w:rPr>
        <w:t>合同</w:t>
      </w:r>
      <w:r>
        <w:rPr>
          <w:rFonts w:hint="default" w:ascii="Times New Roman" w:hAnsi="Times New Roman" w:eastAsia="方正仿宋_GBK" w:cs="Times New Roman"/>
          <w:b w:val="0"/>
          <w:bCs/>
          <w:sz w:val="32"/>
          <w:szCs w:val="32"/>
        </w:rPr>
        <w:t xml:space="preserve">； </w:t>
      </w:r>
    </w:p>
    <w:p w14:paraId="6B1B4FCB">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eastAsia"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val="en-US" w:eastAsia="zh-CN"/>
        </w:rPr>
        <w:t>2</w:t>
      </w:r>
      <w:r>
        <w:rPr>
          <w:rFonts w:hint="eastAsia"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《成交通知书》是签订合同的依据，具有法律效力。</w:t>
      </w:r>
    </w:p>
    <w:p w14:paraId="15167BC5">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rPr>
        <w:t>、签订合同</w:t>
      </w:r>
    </w:p>
    <w:p w14:paraId="25057A6E">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eastAsia"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val="en-US" w:eastAsia="zh-CN"/>
        </w:rPr>
        <w:t>1</w:t>
      </w:r>
      <w:r>
        <w:rPr>
          <w:rFonts w:hint="eastAsia"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成交人在《成交通知书》发出后30日内按《成交通知书》规定与采购人签订合同；</w:t>
      </w:r>
    </w:p>
    <w:p w14:paraId="6AFE9902">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eastAsia"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val="en-US" w:eastAsia="zh-CN"/>
        </w:rPr>
        <w:t>2</w:t>
      </w:r>
      <w:r>
        <w:rPr>
          <w:rFonts w:hint="eastAsia"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响应文件及其补充文件、澄清，均为合同内容的依据。</w:t>
      </w:r>
    </w:p>
    <w:p w14:paraId="2167CDD9">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lang w:val="en-US" w:eastAsia="zh-CN"/>
        </w:rPr>
      </w:pPr>
      <w:bookmarkStart w:id="49" w:name="_Toc29960"/>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、履约保证金</w:t>
      </w:r>
      <w:bookmarkEnd w:id="49"/>
      <w:r>
        <w:rPr>
          <w:rFonts w:hint="default"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val="en-US" w:eastAsia="zh-CN"/>
        </w:rPr>
        <w:t>免收。</w:t>
      </w:r>
    </w:p>
    <w:p w14:paraId="709F2D1D">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、货物验收：由使用单位负责验收，并出具《验收报告》。</w:t>
      </w:r>
    </w:p>
    <w:p w14:paraId="637F9A4C">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rPr>
        <w:t>、付款条件：合同所载货物验收合格后，采购人</w:t>
      </w:r>
      <w:r>
        <w:rPr>
          <w:rFonts w:hint="default" w:ascii="Times New Roman" w:hAnsi="Times New Roman" w:eastAsia="方正仿宋_GBK" w:cs="Times New Roman"/>
          <w:b w:val="0"/>
          <w:bCs/>
          <w:color w:val="000000"/>
          <w:sz w:val="32"/>
          <w:szCs w:val="32"/>
        </w:rPr>
        <w:t>按合同约定</w:t>
      </w:r>
      <w:r>
        <w:rPr>
          <w:rFonts w:hint="default" w:ascii="Times New Roman" w:hAnsi="Times New Roman" w:eastAsia="方正仿宋_GBK" w:cs="Times New Roman"/>
          <w:b w:val="0"/>
          <w:bCs/>
          <w:sz w:val="32"/>
          <w:szCs w:val="32"/>
        </w:rPr>
        <w:t>支付货款。</w:t>
      </w:r>
    </w:p>
    <w:p w14:paraId="50A497B5">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6</w:t>
      </w:r>
      <w:r>
        <w:rPr>
          <w:rFonts w:hint="default" w:ascii="Times New Roman" w:hAnsi="Times New Roman" w:eastAsia="方正仿宋_GBK" w:cs="Times New Roman"/>
          <w:b w:val="0"/>
          <w:bCs/>
          <w:sz w:val="32"/>
          <w:szCs w:val="32"/>
        </w:rPr>
        <w:t>、法律责任</w:t>
      </w:r>
    </w:p>
    <w:p w14:paraId="528F9643">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Times New Roman"/>
          <w:b w:val="0"/>
          <w:bCs/>
          <w:sz w:val="32"/>
          <w:szCs w:val="32"/>
          <w:lang w:val="en-US" w:eastAsia="zh-CN"/>
        </w:rPr>
        <w:sectPr>
          <w:pgSz w:w="11906" w:h="16838"/>
          <w:pgMar w:top="1134" w:right="1134" w:bottom="1134" w:left="1134" w:header="1020" w:footer="567" w:gutter="0"/>
          <w:cols w:space="720" w:num="1"/>
          <w:titlePg/>
          <w:docGrid w:linePitch="312" w:charSpace="0"/>
        </w:sectPr>
      </w:pPr>
      <w:r>
        <w:rPr>
          <w:rFonts w:hint="default" w:ascii="Times New Roman" w:hAnsi="Times New Roman" w:eastAsia="方正仿宋_GBK" w:cs="Times New Roman"/>
          <w:b w:val="0"/>
          <w:bCs/>
          <w:sz w:val="32"/>
          <w:szCs w:val="32"/>
        </w:rPr>
        <w:t>合同依法成立后，当事人必须全面履行合同规定的义务，保证合同顺利执行。成交人不得向他人转让成交项目，也不得将成交项目分解后向他人转让。履行合同过程中出现纠纷的，按《中华人民共和国</w:t>
      </w:r>
      <w:r>
        <w:rPr>
          <w:rFonts w:hint="default" w:ascii="Times New Roman" w:hAnsi="Times New Roman" w:eastAsia="方正仿宋_GBK" w:cs="Times New Roman"/>
          <w:b w:val="0"/>
          <w:bCs/>
          <w:sz w:val="32"/>
          <w:szCs w:val="32"/>
          <w:lang w:val="en-US" w:eastAsia="zh-CN"/>
        </w:rPr>
        <w:t>民法典</w:t>
      </w:r>
      <w:r>
        <w:rPr>
          <w:rFonts w:hint="default" w:ascii="Times New Roman" w:hAnsi="Times New Roman" w:eastAsia="方正仿宋_GBK" w:cs="Times New Roman"/>
          <w:b w:val="0"/>
          <w:bCs/>
          <w:sz w:val="32"/>
          <w:szCs w:val="32"/>
        </w:rPr>
        <w:t>》的规定处</w:t>
      </w:r>
      <w:r>
        <w:rPr>
          <w:rFonts w:hint="eastAsia" w:ascii="Times New Roman" w:hAnsi="Times New Roman" w:eastAsia="方正仿宋_GBK" w:cs="Times New Roman"/>
          <w:b w:val="0"/>
          <w:bCs/>
          <w:sz w:val="32"/>
          <w:szCs w:val="32"/>
          <w:lang w:val="en-US" w:eastAsia="zh-CN"/>
        </w:rPr>
        <w:t>理。</w:t>
      </w:r>
    </w:p>
    <w:p w14:paraId="4B33D8D9">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sz w:val="32"/>
          <w:szCs w:val="32"/>
          <w:lang w:val="en-US" w:eastAsia="zh-CN"/>
        </w:rPr>
      </w:pPr>
    </w:p>
    <w:p w14:paraId="1CE13EFD">
      <w:pPr>
        <w:snapToGrid w:val="0"/>
        <w:spacing w:line="320" w:lineRule="exact"/>
        <w:rPr>
          <w:rFonts w:hint="eastAsia" w:ascii="仿宋" w:hAnsi="仿宋" w:eastAsia="仿宋" w:cs="仿宋"/>
          <w:color w:val="000000"/>
          <w:sz w:val="24"/>
          <w:szCs w:val="24"/>
          <w:lang w:val="en-US" w:eastAsia="zh-CN"/>
        </w:rPr>
      </w:pPr>
      <w:bookmarkStart w:id="50" w:name="_Toc8300"/>
      <w:bookmarkStart w:id="51" w:name="_Toc9999"/>
      <w:bookmarkStart w:id="52" w:name="_Toc16915"/>
      <w:bookmarkStart w:id="53" w:name="_Toc591"/>
      <w:bookmarkStart w:id="54" w:name="_Toc23529"/>
    </w:p>
    <w:bookmarkEnd w:id="50"/>
    <w:bookmarkEnd w:id="51"/>
    <w:bookmarkEnd w:id="52"/>
    <w:bookmarkEnd w:id="53"/>
    <w:bookmarkEnd w:id="54"/>
    <w:p w14:paraId="0249B556">
      <w:pPr>
        <w:pStyle w:val="21"/>
        <w:keepNext w:val="0"/>
        <w:keepLines w:val="0"/>
        <w:pageBreakBefore w:val="0"/>
        <w:widowControl w:val="0"/>
        <w:numPr>
          <w:ilvl w:val="0"/>
          <w:numId w:val="0"/>
        </w:numPr>
        <w:tabs>
          <w:tab w:val="left" w:pos="1261"/>
          <w:tab w:val="center" w:pos="4995"/>
        </w:tabs>
        <w:kinsoku/>
        <w:wordWrap/>
        <w:overflowPunct/>
        <w:topLinePunct w:val="0"/>
        <w:autoSpaceDE/>
        <w:autoSpaceDN/>
        <w:bidi w:val="0"/>
        <w:adjustRightInd/>
        <w:snapToGrid/>
        <w:spacing w:line="720" w:lineRule="exact"/>
        <w:ind w:leftChars="0"/>
        <w:jc w:val="center"/>
        <w:textAlignment w:val="auto"/>
        <w:outlineLvl w:val="0"/>
        <w:rPr>
          <w:rFonts w:hint="default" w:ascii="方正小标宋_GBK" w:hAnsi="方正小标宋_GBK" w:eastAsia="方正小标宋_GBK" w:cs="方正小标宋_GBK"/>
          <w:b w:val="0"/>
          <w:bCs/>
          <w:sz w:val="44"/>
          <w:szCs w:val="44"/>
          <w:lang w:val="en-US"/>
        </w:rPr>
      </w:pPr>
      <w:bookmarkStart w:id="55" w:name="_Toc24769"/>
      <w:bookmarkStart w:id="56" w:name="_Toc16933"/>
      <w:bookmarkStart w:id="57" w:name="_Toc1405"/>
      <w:r>
        <w:rPr>
          <w:rFonts w:hint="eastAsia" w:ascii="方正小标宋_GBK" w:hAnsi="方正小标宋_GBK" w:eastAsia="方正小标宋_GBK" w:cs="方正小标宋_GBK"/>
          <w:b w:val="0"/>
          <w:bCs/>
          <w:sz w:val="44"/>
          <w:szCs w:val="44"/>
          <w:lang w:val="en-US" w:eastAsia="zh-CN"/>
        </w:rPr>
        <w:t>第四章 曲靖政府采购电子交易系统项目</w:t>
      </w:r>
      <w:bookmarkEnd w:id="55"/>
      <w:bookmarkEnd w:id="56"/>
      <w:r>
        <w:rPr>
          <w:rFonts w:hint="eastAsia" w:ascii="方正小标宋_GBK" w:hAnsi="方正小标宋_GBK" w:eastAsia="方正小标宋_GBK" w:cs="方正小标宋_GBK"/>
          <w:b w:val="0"/>
          <w:bCs/>
          <w:sz w:val="44"/>
          <w:szCs w:val="44"/>
          <w:lang w:val="en-US" w:eastAsia="zh-CN"/>
        </w:rPr>
        <w:t>需求</w:t>
      </w:r>
    </w:p>
    <w:p w14:paraId="1CF1C20E">
      <w:pPr>
        <w:keepNext w:val="0"/>
        <w:keepLines w:val="0"/>
        <w:pageBreakBefore w:val="0"/>
        <w:widowControl w:val="0"/>
        <w:kinsoku/>
        <w:wordWrap/>
        <w:overflowPunct/>
        <w:topLinePunct w:val="0"/>
        <w:autoSpaceDE/>
        <w:autoSpaceDN/>
        <w:bidi w:val="0"/>
        <w:adjustRightInd/>
        <w:snapToGrid/>
        <w:jc w:val="both"/>
        <w:textAlignment w:val="auto"/>
        <w:rPr>
          <w:rFonts w:hint="default" w:ascii="黑体" w:hAnsi="黑体" w:eastAsia="黑体" w:cs="黑体"/>
          <w:sz w:val="32"/>
          <w:szCs w:val="32"/>
          <w:lang w:val="en-US" w:eastAsia="zh-CN"/>
        </w:rPr>
      </w:pPr>
    </w:p>
    <w:p w14:paraId="7800CE88">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default" w:ascii="Times New Roman" w:hAnsi="Times New Roman" w:eastAsia="方正仿宋_GBK" w:cs="Times New Roman"/>
          <w:b w:val="0"/>
          <w:bCs/>
          <w:sz w:val="32"/>
          <w:szCs w:val="32"/>
          <w:lang w:val="en-US" w:eastAsia="zh-CN"/>
        </w:rPr>
      </w:pPr>
      <w:r>
        <w:rPr>
          <w:rFonts w:hint="eastAsia" w:ascii="方正黑体_GBK" w:hAnsi="方正黑体_GBK" w:eastAsia="方正黑体_GBK" w:cs="方正黑体_GBK"/>
          <w:b w:val="0"/>
          <w:bCs/>
          <w:sz w:val="32"/>
          <w:szCs w:val="32"/>
          <w:lang w:val="en-US" w:eastAsia="zh-CN"/>
        </w:rPr>
        <w:t>一、项目概况</w:t>
      </w:r>
    </w:p>
    <w:p w14:paraId="1031817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eastAsia" w:ascii="方正楷体_GBK" w:hAnsi="方正楷体_GBK" w:eastAsia="方正楷体_GBK" w:cs="方正楷体_GBK"/>
          <w:kern w:val="2"/>
          <w:sz w:val="32"/>
          <w:szCs w:val="32"/>
          <w:lang w:val="en-US" w:eastAsia="zh-CN" w:bidi="ar-SA"/>
        </w:rPr>
        <w:t>（一）项目建设背景</w:t>
      </w:r>
    </w:p>
    <w:p w14:paraId="7154D2D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kern w:val="2"/>
          <w:sz w:val="32"/>
          <w:szCs w:val="32"/>
          <w:lang w:val="en-US" w:eastAsia="zh-CN" w:bidi="ar-SA"/>
        </w:rPr>
        <w:t>按财政部印发《＜全国政府采购管理交易系统建设总体规划＞和＜政府采购业务基础数据规范＞的通知》</w:t>
      </w:r>
      <w:r>
        <w:rPr>
          <w:rFonts w:hint="eastAsia" w:ascii="Times New Roman" w:hAnsi="Times New Roman" w:eastAsia="方正仿宋_GBK" w:cs="Times New Roman"/>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整合本地区分散的政府采购信息系统，加快建设统一的电子化政府采购管理交易系统，逐步推动本地区所有政府采购项目进入政府采购管理交易系统进行交易，实现政府采购交易信息共享和全流程电子化操作。</w:t>
      </w:r>
      <w:r>
        <w:rPr>
          <w:rFonts w:hint="eastAsia" w:ascii="Times New Roman" w:hAnsi="Times New Roman" w:eastAsia="方正仿宋_GBK" w:cs="Times New Roman"/>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的要求，拟通过电子化政府采购平台与财政管理信息系统的衔接，逐步实现在线开展采购评审、投诉处理、合同签订、履约验收、信用评价、资金支付等。</w:t>
      </w:r>
    </w:p>
    <w:p w14:paraId="7293317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楷体_GBK" w:hAnsi="方正楷体_GBK" w:eastAsia="方正楷体_GBK" w:cs="方正楷体_GBK"/>
          <w:kern w:val="2"/>
          <w:sz w:val="32"/>
          <w:szCs w:val="32"/>
          <w:lang w:val="en-US" w:eastAsia="zh-CN" w:bidi="ar-SA"/>
        </w:rPr>
      </w:pPr>
      <w:r>
        <w:rPr>
          <w:rFonts w:hint="default" w:ascii="方正楷体_GBK" w:hAnsi="方正楷体_GBK" w:eastAsia="方正楷体_GBK" w:cs="方正楷体_GBK"/>
          <w:kern w:val="2"/>
          <w:sz w:val="32"/>
          <w:szCs w:val="32"/>
          <w:lang w:val="en-US" w:eastAsia="zh-CN" w:bidi="ar-SA"/>
        </w:rPr>
        <w:t>（二）建设目标</w:t>
      </w:r>
    </w:p>
    <w:p w14:paraId="1EAFC55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1.业务目标</w:t>
      </w:r>
    </w:p>
    <w:p w14:paraId="20461FB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按照政府采购深化改革要求，以持续优化我市营商环境为导向，提升政府采购监管能力，推动建立曲靖政府采购全流程电子化交易模式。</w:t>
      </w:r>
    </w:p>
    <w:p w14:paraId="7E8E952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2.技术目标</w:t>
      </w:r>
    </w:p>
    <w:p w14:paraId="3C80943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通过提供政府采购电子化系统，使政府采购的业务数据进一步标准规范，多元化满足政府采购活动各方的系统使用需求。</w:t>
      </w:r>
    </w:p>
    <w:p w14:paraId="4A587DC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3．预期绩效目标</w:t>
      </w:r>
    </w:p>
    <w:p w14:paraId="0D5BA7F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通过提供政府采购电子化交易系统，为政府采购的采购人、采购代理机构、供应商提供标准、便捷的系统服务，提升曲靖政府采购政策的执行力和透明度。</w:t>
      </w:r>
    </w:p>
    <w:p w14:paraId="7E680415">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方正仿宋_GBK" w:hAnsi="方正仿宋_GBK" w:eastAsia="方正仿宋_GBK" w:cs="方正仿宋_GBK"/>
          <w:b w:val="0"/>
          <w:bCs/>
          <w:sz w:val="32"/>
          <w:szCs w:val="32"/>
          <w:lang w:val="en-US" w:eastAsia="zh-CN"/>
        </w:rPr>
      </w:pPr>
      <w:r>
        <w:rPr>
          <w:rFonts w:hint="eastAsia" w:ascii="方正仿宋_GBK" w:hAnsi="方正仿宋_GBK" w:eastAsia="方正仿宋_GBK" w:cs="方正仿宋_GBK"/>
          <w:b w:val="0"/>
          <w:bCs/>
          <w:sz w:val="32"/>
          <w:szCs w:val="32"/>
          <w:lang w:val="en-US" w:eastAsia="zh-CN"/>
        </w:rPr>
        <w:t>需执行的国家相关标准、行业标准、地方标准或者其他标准、规范</w:t>
      </w:r>
    </w:p>
    <w:p w14:paraId="422B4A3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楷体_GBK" w:hAnsi="方正楷体_GBK" w:eastAsia="方正楷体_GBK" w:cs="方正楷体_GBK"/>
          <w:kern w:val="2"/>
          <w:sz w:val="32"/>
          <w:szCs w:val="32"/>
          <w:lang w:val="en-US" w:eastAsia="zh-CN" w:bidi="ar-SA"/>
        </w:rPr>
      </w:pPr>
      <w:r>
        <w:rPr>
          <w:rFonts w:hint="eastAsia" w:ascii="方正楷体_GBK" w:hAnsi="方正楷体_GBK" w:eastAsia="方正楷体_GBK" w:cs="方正楷体_GBK"/>
          <w:kern w:val="2"/>
          <w:sz w:val="32"/>
          <w:szCs w:val="32"/>
          <w:lang w:val="en-US" w:eastAsia="zh-CN" w:bidi="ar-SA"/>
        </w:rPr>
        <w:t>（一）建设要求</w:t>
      </w:r>
    </w:p>
    <w:p w14:paraId="5441309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1.安全性：采取应用级的安全技术和防护手段，保证应用系统自身的安全性，数据不被非法入侵者破坏和盗用。</w:t>
      </w:r>
    </w:p>
    <w:p w14:paraId="068A538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2.可靠性：可靠运行系统的基本要求，设计上不仅要保证系统运行可靠，还要保证数据存储的可靠性。</w:t>
      </w:r>
    </w:p>
    <w:p w14:paraId="376F420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3.可扩展性／可伸缩性：系统设计中要比较清晰地划分功能块，作结构化、模块化设计，用户可以选择需要的组件构成不同规模的应用系统。在适应目前需求的基础上，为将来可预见和不可预见的性能扩充留有余地；新功能、新业务的增加能够在不影响系统运行的情况下实现。满足业务近期、中期甚至长期时间范围数据快速增长的需要。</w:t>
      </w:r>
    </w:p>
    <w:p w14:paraId="333B9D3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4.易操作、易管理性：良好的用户操作界面、完备的帮助信息。系统参数的维护与管理通过操作界面实现。</w:t>
      </w:r>
    </w:p>
    <w:p w14:paraId="077D1EC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5.标准性和开放性：所有选用的技术和产品，全部遵循通用的国际或行业标准，各系统模块之间有良好的兼容性。能实现与曲靖政府采购现有业务系统进行对接。</w:t>
      </w:r>
    </w:p>
    <w:p w14:paraId="2E82A31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楷体_GBK" w:hAnsi="方正楷体_GBK" w:eastAsia="方正楷体_GBK" w:cs="方正楷体_GBK"/>
          <w:kern w:val="2"/>
          <w:sz w:val="32"/>
          <w:szCs w:val="32"/>
          <w:lang w:val="en-US" w:eastAsia="zh-CN" w:bidi="ar-SA"/>
        </w:rPr>
      </w:pPr>
      <w:r>
        <w:rPr>
          <w:rFonts w:hint="eastAsia" w:ascii="方正楷体_GBK" w:hAnsi="方正楷体_GBK" w:eastAsia="方正楷体_GBK" w:cs="方正楷体_GBK"/>
          <w:kern w:val="2"/>
          <w:sz w:val="32"/>
          <w:szCs w:val="32"/>
          <w:lang w:val="en-US" w:eastAsia="zh-CN" w:bidi="ar-SA"/>
        </w:rPr>
        <w:t>（二）建设依据</w:t>
      </w:r>
    </w:p>
    <w:p w14:paraId="4103C3E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kern w:val="2"/>
          <w:sz w:val="32"/>
          <w:szCs w:val="32"/>
          <w:lang w:val="en-US" w:eastAsia="zh-CN" w:bidi="ar-SA"/>
        </w:rPr>
      </w:pPr>
      <w:r>
        <w:rPr>
          <w:rFonts w:hint="default" w:ascii="Times New Roman" w:hAnsi="Times New Roman" w:eastAsia="方正仿宋_GBK" w:cs="Times New Roman"/>
          <w:b w:val="0"/>
          <w:bCs w:val="0"/>
          <w:kern w:val="2"/>
          <w:sz w:val="32"/>
          <w:szCs w:val="32"/>
          <w:lang w:val="en-US" w:eastAsia="zh-CN" w:bidi="ar-SA"/>
        </w:rPr>
        <w:t>1.国家相关标准</w:t>
      </w:r>
    </w:p>
    <w:p w14:paraId="50A0200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《国务院关于印发促进大数据发展行动纲要的通知》（国发（2015</w:t>
      </w:r>
      <w:r>
        <w:rPr>
          <w:rFonts w:hint="eastAsia" w:ascii="Times New Roman" w:hAnsi="Times New Roman" w:eastAsia="方正仿宋_GBK" w:cs="Times New Roman"/>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50号）</w:t>
      </w:r>
    </w:p>
    <w:p w14:paraId="3A35850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w:t>
      </w:r>
      <w:r>
        <w:rPr>
          <w:rFonts w:hint="eastAsia" w:ascii="Times New Roman" w:hAnsi="Times New Roman" w:eastAsia="方正仿宋_GBK" w:cs="Times New Roman"/>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互联网＋政务服务</w:t>
      </w:r>
      <w:r>
        <w:rPr>
          <w:rFonts w:hint="eastAsia" w:ascii="Times New Roman" w:hAnsi="Times New Roman" w:eastAsia="方正仿宋_GBK" w:cs="Times New Roman"/>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技术体系建设指南》（国办函（2016</w:t>
      </w:r>
      <w:r>
        <w:rPr>
          <w:rFonts w:hint="eastAsia" w:ascii="Times New Roman" w:hAnsi="Times New Roman" w:eastAsia="方正仿宋_GBK" w:cs="Times New Roman"/>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108号）</w:t>
      </w:r>
    </w:p>
    <w:p w14:paraId="1B5A0BB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《全国政府采购管理交易系统建设总体规划》</w:t>
      </w:r>
    </w:p>
    <w:p w14:paraId="6418F6A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《政府采购业务基础数据规范》</w:t>
      </w:r>
    </w:p>
    <w:p w14:paraId="06713B8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kern w:val="2"/>
          <w:sz w:val="32"/>
          <w:szCs w:val="32"/>
          <w:lang w:val="en-US" w:eastAsia="zh-CN" w:bidi="ar-SA"/>
        </w:rPr>
      </w:pPr>
      <w:r>
        <w:rPr>
          <w:rFonts w:hint="default" w:ascii="Times New Roman" w:hAnsi="Times New Roman" w:eastAsia="方正仿宋_GBK" w:cs="Times New Roman"/>
          <w:b w:val="0"/>
          <w:bCs w:val="0"/>
          <w:kern w:val="2"/>
          <w:sz w:val="32"/>
          <w:szCs w:val="32"/>
          <w:lang w:val="en-US" w:eastAsia="zh-CN" w:bidi="ar-SA"/>
        </w:rPr>
        <w:t>2.行业标准</w:t>
      </w:r>
    </w:p>
    <w:p w14:paraId="44767D4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信息技术软件生存周期过程（ GB / T 8566-2007</w:t>
      </w:r>
      <w:r>
        <w:rPr>
          <w:rFonts w:hint="eastAsia" w:ascii="Times New Roman" w:hAnsi="Times New Roman" w:eastAsia="方正仿宋_GBK" w:cs="Times New Roman"/>
          <w:kern w:val="2"/>
          <w:sz w:val="32"/>
          <w:szCs w:val="32"/>
          <w:lang w:val="en-US" w:eastAsia="zh-CN" w:bidi="ar-SA"/>
        </w:rPr>
        <w:t>）</w:t>
      </w:r>
    </w:p>
    <w:p w14:paraId="4DA443A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信息技术软件工程术语（ GB / T 11457-2006</w:t>
      </w:r>
      <w:r>
        <w:rPr>
          <w:rFonts w:hint="eastAsia" w:ascii="Times New Roman" w:hAnsi="Times New Roman" w:eastAsia="方正仿宋_GBK" w:cs="Times New Roman"/>
          <w:kern w:val="2"/>
          <w:sz w:val="32"/>
          <w:szCs w:val="32"/>
          <w:lang w:val="en-US" w:eastAsia="zh-CN" w:bidi="ar-SA"/>
        </w:rPr>
        <w:t>）</w:t>
      </w:r>
    </w:p>
    <w:p w14:paraId="4A15D81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信息技术系统及软件完整性级别（ GB / T 18492-2001</w:t>
      </w:r>
      <w:r>
        <w:rPr>
          <w:rFonts w:hint="eastAsia" w:ascii="Times New Roman" w:hAnsi="Times New Roman" w:eastAsia="方正仿宋_GBK" w:cs="Times New Roman"/>
          <w:kern w:val="2"/>
          <w:sz w:val="32"/>
          <w:szCs w:val="32"/>
          <w:lang w:val="en-US" w:eastAsia="zh-CN" w:bidi="ar-SA"/>
        </w:rPr>
        <w:t>）</w:t>
      </w:r>
    </w:p>
    <w:p w14:paraId="28595E9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绘制信息技术软件工程术语（ GB / T 11457-2006</w:t>
      </w:r>
      <w:r>
        <w:rPr>
          <w:rFonts w:hint="eastAsia" w:ascii="Times New Roman" w:hAnsi="Times New Roman" w:eastAsia="方正仿宋_GBK" w:cs="Times New Roman"/>
          <w:kern w:val="2"/>
          <w:sz w:val="32"/>
          <w:szCs w:val="32"/>
          <w:lang w:val="en-US" w:eastAsia="zh-CN" w:bidi="ar-SA"/>
        </w:rPr>
        <w:t>）</w:t>
      </w:r>
    </w:p>
    <w:p w14:paraId="10F88F4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计算机软件需求规格说明规范（ GB / T 9385-2008</w:t>
      </w:r>
      <w:r>
        <w:rPr>
          <w:rFonts w:hint="eastAsia" w:ascii="Times New Roman" w:hAnsi="Times New Roman" w:eastAsia="方正仿宋_GBK" w:cs="Times New Roman"/>
          <w:kern w:val="2"/>
          <w:sz w:val="32"/>
          <w:szCs w:val="32"/>
          <w:lang w:val="en-US" w:eastAsia="zh-CN" w:bidi="ar-SA"/>
        </w:rPr>
        <w:t>）</w:t>
      </w:r>
    </w:p>
    <w:p w14:paraId="59386C3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计算机软件测试文档编制规范（ GB / T 9386-2008</w:t>
      </w:r>
      <w:r>
        <w:rPr>
          <w:rFonts w:hint="eastAsia" w:ascii="Times New Roman" w:hAnsi="Times New Roman" w:eastAsia="方正仿宋_GBK" w:cs="Times New Roman"/>
          <w:kern w:val="2"/>
          <w:sz w:val="32"/>
          <w:szCs w:val="32"/>
          <w:lang w:val="en-US" w:eastAsia="zh-CN" w:bidi="ar-SA"/>
        </w:rPr>
        <w:t>）</w:t>
      </w:r>
    </w:p>
    <w:p w14:paraId="53AC5F3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信息技术软件生存周期过程指南（ GB / Z 18493-2001</w:t>
      </w:r>
      <w:r>
        <w:rPr>
          <w:rFonts w:hint="eastAsia" w:ascii="Times New Roman" w:hAnsi="Times New Roman" w:eastAsia="方正仿宋_GBK" w:cs="Times New Roman"/>
          <w:kern w:val="2"/>
          <w:sz w:val="32"/>
          <w:szCs w:val="32"/>
          <w:lang w:val="en-US" w:eastAsia="zh-CN" w:bidi="ar-SA"/>
        </w:rPr>
        <w:t>）</w:t>
      </w:r>
    </w:p>
    <w:p w14:paraId="012D181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kern w:val="2"/>
          <w:sz w:val="32"/>
          <w:szCs w:val="32"/>
          <w:lang w:val="en-US" w:eastAsia="zh-CN" w:bidi="ar-SA"/>
        </w:rPr>
      </w:pPr>
      <w:r>
        <w:rPr>
          <w:rFonts w:hint="default" w:ascii="Times New Roman" w:hAnsi="Times New Roman" w:eastAsia="方正仿宋_GBK" w:cs="Times New Roman"/>
          <w:b w:val="0"/>
          <w:bCs w:val="0"/>
          <w:kern w:val="2"/>
          <w:sz w:val="32"/>
          <w:szCs w:val="32"/>
          <w:lang w:val="en-US" w:eastAsia="zh-CN" w:bidi="ar-SA"/>
        </w:rPr>
        <w:t>3.法律法规</w:t>
      </w:r>
    </w:p>
    <w:p w14:paraId="3A31923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《中华人民共和国政府采购法》</w:t>
      </w:r>
    </w:p>
    <w:p w14:paraId="2C95206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《中华人民共和国政府采购法实施条例》</w:t>
      </w:r>
    </w:p>
    <w:p w14:paraId="1A50C68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《政府采购货物和服务招标投标管理办法》（财政部令第87号）</w:t>
      </w:r>
    </w:p>
    <w:p w14:paraId="6616F6B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《政府采购非招标采购方式管理办法》（中华人民共和国财政部令第74号）</w:t>
      </w:r>
    </w:p>
    <w:p w14:paraId="21C55C6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财政部关于印发《政府采购竞争性采购方式管理暂行办法》的通知（财库（2014</w:t>
      </w:r>
      <w:r>
        <w:rPr>
          <w:rFonts w:hint="eastAsia" w:ascii="Times New Roman" w:hAnsi="Times New Roman" w:eastAsia="方正仿宋_GBK" w:cs="Times New Roman"/>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214号）</w:t>
      </w:r>
    </w:p>
    <w:p w14:paraId="0EE350F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《政府购买服务管理办法》（中华人民共和国财政部令第102号）</w:t>
      </w:r>
    </w:p>
    <w:p w14:paraId="75AA49E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《政府采购框架协议采购方式管理暂行办法》（中华人民共和国财政部令第110号）</w:t>
      </w:r>
    </w:p>
    <w:p w14:paraId="149583D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《政府采购信息发布管理办法》（中华人民共和国财政部令第101号）</w:t>
      </w:r>
    </w:p>
    <w:p w14:paraId="13BB0F4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关于印发《政府采购公告和公示信息格式规范（2020年版）》的通知（财办库（2020</w:t>
      </w:r>
      <w:r>
        <w:rPr>
          <w:rFonts w:hint="eastAsia" w:ascii="Times New Roman" w:hAnsi="Times New Roman" w:eastAsia="方正仿宋_GBK" w:cs="Times New Roman"/>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50号）《</w:t>
      </w:r>
    </w:p>
    <w:p w14:paraId="6F5897E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政府采购质疑和投诉办法》（中华人民共和国财政部令第94号）</w:t>
      </w:r>
    </w:p>
    <w:p w14:paraId="0FA9C15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《优化营商环境条例》（国务院令</w:t>
      </w:r>
      <w:r>
        <w:rPr>
          <w:rFonts w:hint="eastAsia" w:eastAsia="方正仿宋_GBK" w:cs="Times New Roman"/>
          <w:kern w:val="2"/>
          <w:sz w:val="32"/>
          <w:szCs w:val="32"/>
          <w:lang w:val="en-US" w:eastAsia="zh-CN" w:bidi="ar-SA"/>
        </w:rPr>
        <w:t>第</w:t>
      </w:r>
      <w:r>
        <w:rPr>
          <w:rFonts w:hint="default" w:ascii="Times New Roman" w:hAnsi="Times New Roman" w:eastAsia="方正仿宋_GBK" w:cs="Times New Roman"/>
          <w:kern w:val="2"/>
          <w:sz w:val="32"/>
          <w:szCs w:val="32"/>
          <w:lang w:val="en-US" w:eastAsia="zh-CN" w:bidi="ar-SA"/>
        </w:rPr>
        <w:t>722号）</w:t>
      </w:r>
    </w:p>
    <w:p w14:paraId="2A334D6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b/>
          <w:bCs/>
          <w:sz w:val="28"/>
          <w:szCs w:val="28"/>
          <w:lang w:val="en-US" w:eastAsia="zh-CN"/>
        </w:rPr>
      </w:pPr>
      <w:r>
        <w:rPr>
          <w:rFonts w:hint="eastAsia" w:ascii="方正黑体_GBK" w:hAnsi="方正黑体_GBK" w:eastAsia="方正黑体_GBK" w:cs="方正黑体_GBK"/>
          <w:b w:val="0"/>
          <w:bCs w:val="0"/>
          <w:sz w:val="32"/>
          <w:szCs w:val="32"/>
          <w:lang w:val="en-US" w:eastAsia="zh-CN"/>
        </w:rPr>
        <w:t>二、功能要求</w:t>
      </w:r>
    </w:p>
    <w:p w14:paraId="41A8C19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val="en-US" w:eastAsia="zh-CN"/>
        </w:rPr>
        <w:t>（一）基础管理模块</w:t>
      </w:r>
    </w:p>
    <w:p w14:paraId="46F8EBF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★1．采购人</w:t>
      </w:r>
    </w:p>
    <w:p w14:paraId="7C7C0A8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1）具有采购人信息批量导入功能，能将采购人信息批量导入，实现采购人信息的初始化。实现政府采购人账号与云南省政府采购管理系统、政采云电子卖场、框架协议一致。</w:t>
      </w:r>
    </w:p>
    <w:p w14:paraId="7CF0F4F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2）支持创建采购人管理员账号并设置权限。</w:t>
      </w:r>
    </w:p>
    <w:p w14:paraId="52A0F61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3）支持采购人管理员账号创建本单位子账号，设置单位内部管理权限。</w:t>
      </w:r>
    </w:p>
    <w:p w14:paraId="5075E5E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4）支持采购人账号用户名、密码自助找回。</w:t>
      </w:r>
    </w:p>
    <w:p w14:paraId="396D88B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5）支持采购人账号绑定 CA 锁。</w:t>
      </w:r>
    </w:p>
    <w:p w14:paraId="7250701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★2．供应商</w:t>
      </w:r>
    </w:p>
    <w:p w14:paraId="71ABFE0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1）支持供应商（包含自然人）在线注册填写供应商单位名称和信用统一</w:t>
      </w:r>
      <w:r>
        <w:rPr>
          <w:rFonts w:hint="eastAsia" w:eastAsia="方正仿宋_GBK" w:cs="Times New Roman"/>
          <w:b w:val="0"/>
          <w:bCs w:val="0"/>
          <w:sz w:val="32"/>
          <w:szCs w:val="32"/>
          <w:lang w:val="en-US" w:eastAsia="zh-CN"/>
        </w:rPr>
        <w:t>社会</w:t>
      </w:r>
      <w:r>
        <w:rPr>
          <w:rFonts w:hint="default" w:ascii="Times New Roman" w:hAnsi="Times New Roman" w:eastAsia="方正仿宋_GBK" w:cs="Times New Roman"/>
          <w:b w:val="0"/>
          <w:bCs w:val="0"/>
          <w:sz w:val="32"/>
          <w:szCs w:val="32"/>
          <w:lang w:val="en-US" w:eastAsia="zh-CN"/>
        </w:rPr>
        <w:t>信用代码（组织机构代码）等相关信息，并绑定 CA 锁。</w:t>
      </w:r>
    </w:p>
    <w:p w14:paraId="0E61FC2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2）支持已注册的供应商变更信息。</w:t>
      </w:r>
    </w:p>
    <w:p w14:paraId="2CAD70F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3)支持财政部门暂停供应商参加政府采购活动。</w:t>
      </w:r>
    </w:p>
    <w:p w14:paraId="0E6AB38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4)支持财政监管部门查询供应商信息。</w:t>
      </w:r>
    </w:p>
    <w:p w14:paraId="08E909C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5)支持供应商账号用户名、密码自助找回。</w:t>
      </w:r>
    </w:p>
    <w:p w14:paraId="19E60A3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★3．采购代理机构</w:t>
      </w:r>
    </w:p>
    <w:p w14:paraId="2F561C3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1)支持采购代理机构申请开通权限、变更信息。</w:t>
      </w:r>
    </w:p>
    <w:p w14:paraId="10FCA80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2)支持采购代理机构账号绑定 CA 锁。</w:t>
      </w:r>
    </w:p>
    <w:p w14:paraId="247E891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3)支持财政部门对采购代理机构进行管理。</w:t>
      </w:r>
    </w:p>
    <w:p w14:paraId="3A04FF3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4)支持采购代理机构账号用户名、密码自助找回，支持密码进行重置。</w:t>
      </w:r>
    </w:p>
    <w:p w14:paraId="6BB3302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eastAsia" w:eastAsia="方正仿宋_GBK" w:cs="Times New Roman"/>
          <w:b w:val="0"/>
          <w:bCs w:val="0"/>
          <w:sz w:val="32"/>
          <w:szCs w:val="32"/>
          <w:lang w:val="en-US" w:eastAsia="zh-CN"/>
        </w:rPr>
        <w:t>（二）</w:t>
      </w:r>
      <w:r>
        <w:rPr>
          <w:rFonts w:hint="default" w:ascii="Times New Roman" w:hAnsi="Times New Roman" w:eastAsia="方正仿宋_GBK" w:cs="Times New Roman"/>
          <w:b w:val="0"/>
          <w:bCs w:val="0"/>
          <w:sz w:val="32"/>
          <w:szCs w:val="32"/>
          <w:lang w:val="en-US" w:eastAsia="zh-CN"/>
        </w:rPr>
        <w:t>电子化交易系统功能模块</w:t>
      </w:r>
    </w:p>
    <w:p w14:paraId="5291798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电子化交易系统须具备公开招标、邀请招标、竞争性谈判、询价、单一来源采购、竞争性、框架协议采购7种采购方式。</w:t>
      </w:r>
    </w:p>
    <w:p w14:paraId="328BE5C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★1．项目委托</w:t>
      </w:r>
    </w:p>
    <w:p w14:paraId="3D43D13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云南省政府采购管理系统中采购人的委托信息可直接同步到电子化交易系统。</w:t>
      </w:r>
    </w:p>
    <w:p w14:paraId="3589C2D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★2．采购任务分派</w:t>
      </w:r>
    </w:p>
    <w:p w14:paraId="627C3F2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支持采购代理机构内部分派采购计划。可根据权限、流程设置，分派给具体操作员。可分派、退回，并查看委托单处理进度。</w:t>
      </w:r>
    </w:p>
    <w:p w14:paraId="275AD5B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★3．采购文件编制</w:t>
      </w:r>
    </w:p>
    <w:p w14:paraId="11DFE5A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支持采购代理机构在线或离线编制采购文件，支持引用采购文件模板方式在线编辑采购文件或线下制作，上传到系统。</w:t>
      </w:r>
    </w:p>
    <w:p w14:paraId="0A86CF3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采购文件编制过程中，线上制作支持对敏感或明令禁止的词汇的校验及提醒。支持敏感词库的动态调整，允许添加、</w:t>
      </w:r>
      <w:r>
        <w:rPr>
          <w:rFonts w:hint="eastAsia" w:eastAsia="方正仿宋_GBK" w:cs="Times New Roman"/>
          <w:b w:val="0"/>
          <w:bCs w:val="0"/>
          <w:sz w:val="32"/>
          <w:szCs w:val="32"/>
          <w:lang w:val="en-US" w:eastAsia="zh-CN"/>
        </w:rPr>
        <w:t>删</w:t>
      </w:r>
      <w:r>
        <w:rPr>
          <w:rFonts w:hint="default" w:ascii="Times New Roman" w:hAnsi="Times New Roman" w:eastAsia="方正仿宋_GBK" w:cs="Times New Roman"/>
          <w:b w:val="0"/>
          <w:bCs w:val="0"/>
          <w:sz w:val="32"/>
          <w:szCs w:val="32"/>
          <w:lang w:val="en-US" w:eastAsia="zh-CN"/>
        </w:rPr>
        <w:t>除敏感、禁止性词汇。</w:t>
      </w:r>
    </w:p>
    <w:p w14:paraId="5AB0E43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★4.信息发布（包括招标/邀请/询价//谈判/单一来源公告/中标（成交）公告/合同公告等）</w:t>
      </w:r>
    </w:p>
    <w:p w14:paraId="4FBD163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实现采购信息公告在本系统编辑确认后推送到云南省政府采购网。</w:t>
      </w:r>
    </w:p>
    <w:p w14:paraId="7761667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★5.供应商邀请</w:t>
      </w:r>
    </w:p>
    <w:p w14:paraId="54AFACA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支持公告邀请、书面推荐的邀请方式，并支持对供应商进行资格预审。采购代理机构根据项目立项信息确定的供应商邀请方式发起供应商邀请。</w:t>
      </w:r>
    </w:p>
    <w:p w14:paraId="43FB8D2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★6．评审方法制定</w:t>
      </w:r>
    </w:p>
    <w:p w14:paraId="4942458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支持在载编辑评审方法。可自定义评分项内容，包含每一项最高分最低分以及是否客观分、资格审查内容、符合性审查内容。</w:t>
      </w:r>
    </w:p>
    <w:p w14:paraId="2007326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7.响应点设置</w:t>
      </w:r>
    </w:p>
    <w:p w14:paraId="668DDB9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响应点即资格性审查、符合性审查以及评分项的定位点，通过响应点指导供应商在制作投标（响应）文件所需应答或关注的内容，方便专家对投标文件响应内容的查找、比对。支持关健事项设置多个对应响应点。</w:t>
      </w:r>
    </w:p>
    <w:p w14:paraId="6CF47F0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8.采购文件审核</w:t>
      </w:r>
    </w:p>
    <w:p w14:paraId="438AABA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支持采购代理机构提交采购人审核。</w:t>
      </w:r>
    </w:p>
    <w:p w14:paraId="3A90ED9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9．获取采购文件</w:t>
      </w:r>
    </w:p>
    <w:p w14:paraId="6FE9B2A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1）支持供应商登录系统后可查看未到报名截止时间的所有项目信息。</w:t>
      </w:r>
    </w:p>
    <w:p w14:paraId="7B68CA8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2）供应商需在报名截止时间前在系统中进行报名登记（实名制），完成报名后，供应商可在线免费下载采购文件。系统自动记录供应商获取采购文件的时间。</w:t>
      </w:r>
    </w:p>
    <w:p w14:paraId="3B51EED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3）采购人、采购代理机构可查看供应商报名情况。</w:t>
      </w:r>
    </w:p>
    <w:p w14:paraId="509C712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★10．在线询问</w:t>
      </w:r>
    </w:p>
    <w:p w14:paraId="59B33C6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1)支持供应商向采购人、采购代理机构提出在线询问。</w:t>
      </w:r>
    </w:p>
    <w:p w14:paraId="235ADA8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2)支持采购人、采购代理机构在法定时限内对供应商提出询问做出答复。</w:t>
      </w:r>
    </w:p>
    <w:p w14:paraId="03C808B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3）支持供应商在线查看答复。</w:t>
      </w:r>
    </w:p>
    <w:p w14:paraId="289FA32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4）支持系统自动记录询问及回复的时间、内容。</w:t>
      </w:r>
    </w:p>
    <w:p w14:paraId="4E566D2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11.投标（响应）文件制作</w:t>
      </w:r>
    </w:p>
    <w:p w14:paraId="6D858CD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支持供应商对照采购文件要求，可根据响应点关联资格审查、符合性审查、评分项的具体响应章节编制投标（响应）文件，加盖电子签章，生成有效的电子版投标（响应）文件。支持根据采购文件中的评分项关联标书中的相应点。</w:t>
      </w:r>
    </w:p>
    <w:p w14:paraId="6F4D21E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2）支持单页、多页、骑缝加盖 CA 签章后自动生成加密以及备份标书。</w:t>
      </w:r>
    </w:p>
    <w:p w14:paraId="58AE5F6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3）支持 CA 环境检测，文件信息完整性及有效性校验提醒。</w:t>
      </w:r>
    </w:p>
    <w:p w14:paraId="7A41430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12.投标（响应）文件上传</w:t>
      </w:r>
    </w:p>
    <w:p w14:paraId="56EB3B0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1）支持供应商针对已获取了采购文件的项目上传电子加密投标（响应）文件。</w:t>
      </w:r>
    </w:p>
    <w:p w14:paraId="6319265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2）系统支持校验对投标（响应）文件完整性以及与项目的匹配度。</w:t>
      </w:r>
    </w:p>
    <w:p w14:paraId="564F84D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3）允许供应商在规定时间内撤回和替换投标（响应）文件。</w:t>
      </w:r>
    </w:p>
    <w:p w14:paraId="308509E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13.开启解密</w:t>
      </w:r>
    </w:p>
    <w:p w14:paraId="24348B8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开标时间后可由采购代理机构点击或系统自动开启解密，供应商即可解密其加密标书。</w:t>
      </w:r>
    </w:p>
    <w:p w14:paraId="55EBBEB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★14．供应商签到</w:t>
      </w:r>
    </w:p>
    <w:p w14:paraId="043CA5E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供应商可远程在线签到与解密。</w:t>
      </w:r>
    </w:p>
    <w:p w14:paraId="4C72E01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★15．环境监测</w:t>
      </w:r>
    </w:p>
    <w:p w14:paraId="3E1E7A2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支持供应商、采购代理机构、专家的开评标环境监测，可开启视频会议自测，模拟评标现场视频会议，保障评标过程稳定。</w:t>
      </w:r>
    </w:p>
    <w:p w14:paraId="6666339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评审小组签到</w:t>
      </w:r>
    </w:p>
    <w:p w14:paraId="314C547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点击评审的项目完成签到。</w:t>
      </w:r>
    </w:p>
    <w:p w14:paraId="07189E6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★17．在线承诺</w:t>
      </w:r>
    </w:p>
    <w:p w14:paraId="7A32B56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专家评审前强制展示评审纪律以及承诺书。</w:t>
      </w:r>
    </w:p>
    <w:p w14:paraId="27FC9F6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★18．在线回避</w:t>
      </w:r>
    </w:p>
    <w:p w14:paraId="66E6F27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向专家展示评审项目的供应商相关信息，专家可确认是否需要回避。</w:t>
      </w:r>
    </w:p>
    <w:p w14:paraId="69B1B62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w:t>
      </w:r>
      <w:r>
        <w:rPr>
          <w:rFonts w:hint="eastAsia" w:eastAsia="方正仿宋_GBK" w:cs="Times New Roman"/>
          <w:b w:val="0"/>
          <w:bCs w:val="0"/>
          <w:sz w:val="32"/>
          <w:szCs w:val="32"/>
          <w:lang w:val="en-US" w:eastAsia="zh-CN"/>
        </w:rPr>
        <w:t>9</w:t>
      </w:r>
      <w:r>
        <w:rPr>
          <w:rFonts w:hint="default" w:ascii="Times New Roman" w:hAnsi="Times New Roman" w:eastAsia="方正仿宋_GBK" w:cs="Times New Roman"/>
          <w:b w:val="0"/>
          <w:bCs w:val="0"/>
          <w:sz w:val="32"/>
          <w:szCs w:val="32"/>
          <w:lang w:val="en-US" w:eastAsia="zh-CN"/>
        </w:rPr>
        <w:t>．专家在线评审</w:t>
      </w:r>
    </w:p>
    <w:p w14:paraId="0EA3DF0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系统展现各个供应商的投标（响应）文件，评审项自动定位投标（响应）文件响应内容，支持多供应商标书对比评审模式。竞争性、竞争性谈判、</w:t>
      </w:r>
      <w:r>
        <w:rPr>
          <w:rFonts w:hint="eastAsia" w:ascii="Times New Roman" w:hAnsi="Times New Roman" w:eastAsia="方正仿宋_GBK" w:cs="Times New Roman"/>
          <w:b w:val="0"/>
          <w:bCs w:val="0"/>
          <w:sz w:val="32"/>
          <w:szCs w:val="32"/>
          <w:lang w:val="en-US" w:eastAsia="zh-CN"/>
        </w:rPr>
        <w:t>单一来源采购等方式须具有远程视频（谈判、协商）及提交最后报价的功能。</w:t>
      </w:r>
    </w:p>
    <w:p w14:paraId="3E58CD3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w:t>
      </w:r>
      <w:r>
        <w:rPr>
          <w:rFonts w:hint="eastAsia" w:eastAsia="方正仿宋_GBK" w:cs="Times New Roman"/>
          <w:b w:val="0"/>
          <w:bCs w:val="0"/>
          <w:sz w:val="32"/>
          <w:szCs w:val="32"/>
          <w:lang w:val="en-US" w:eastAsia="zh-CN"/>
        </w:rPr>
        <w:t>20</w:t>
      </w:r>
      <w:r>
        <w:rPr>
          <w:rFonts w:hint="default" w:ascii="Times New Roman" w:hAnsi="Times New Roman" w:eastAsia="方正仿宋_GBK" w:cs="Times New Roman"/>
          <w:b w:val="0"/>
          <w:bCs w:val="0"/>
          <w:sz w:val="32"/>
          <w:szCs w:val="32"/>
          <w:lang w:val="en-US" w:eastAsia="zh-CN"/>
        </w:rPr>
        <w:t>．评分汇总</w:t>
      </w:r>
    </w:p>
    <w:p w14:paraId="689DA62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系统自动汇总各项分值以及专家评审意见，按总分高低顺序排列供应商。</w:t>
      </w:r>
    </w:p>
    <w:p w14:paraId="1DA082D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w:t>
      </w:r>
      <w:r>
        <w:rPr>
          <w:rFonts w:hint="eastAsia" w:eastAsia="方正仿宋_GBK" w:cs="Times New Roman"/>
          <w:b w:val="0"/>
          <w:bCs w:val="0"/>
          <w:sz w:val="32"/>
          <w:szCs w:val="32"/>
          <w:lang w:val="en-US" w:eastAsia="zh-CN"/>
        </w:rPr>
        <w:t>21</w:t>
      </w:r>
      <w:r>
        <w:rPr>
          <w:rFonts w:hint="default" w:ascii="Times New Roman" w:hAnsi="Times New Roman" w:eastAsia="方正仿宋_GBK" w:cs="Times New Roman"/>
          <w:b w:val="0"/>
          <w:bCs w:val="0"/>
          <w:sz w:val="32"/>
          <w:szCs w:val="32"/>
          <w:lang w:val="en-US" w:eastAsia="zh-CN"/>
        </w:rPr>
        <w:t>．退回评审</w:t>
      </w:r>
    </w:p>
    <w:p w14:paraId="567E90C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若存在评审有误，在提交评审结果前，支持评审小组组长选择退回各个评审节点。系统保留前次评审记录。</w:t>
      </w:r>
    </w:p>
    <w:p w14:paraId="5F00551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★22．推荐成交候选供应商</w:t>
      </w:r>
    </w:p>
    <w:p w14:paraId="3715329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支持由评审小组推荐成交候选供应商后由采购人勾选成交供应商的模式或由评审小组勾选成交供应商，采购人确认的模式。</w:t>
      </w:r>
    </w:p>
    <w:p w14:paraId="3B15DA3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23.评审报告签字</w:t>
      </w:r>
    </w:p>
    <w:p w14:paraId="10836C5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系统结合评审数据自动生成相关开评标报表，支持评审小组、监督人等角色 CA 签章。</w:t>
      </w:r>
    </w:p>
    <w:p w14:paraId="58CC025B">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24.采购结果生成</w:t>
      </w:r>
    </w:p>
    <w:p w14:paraId="02E7AC1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采购结果信息包括项目基本情况、评审小组组成、评审情况说明、报价信息等。</w:t>
      </w:r>
    </w:p>
    <w:p w14:paraId="2BE32B8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★25.采购结果确认</w:t>
      </w:r>
    </w:p>
    <w:p w14:paraId="3DCCA96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采购单位经办人对由委托采购代理机构经办并审核通过的采购结果进行确认，若确认通过，采购结果生效；若审核不通过，退回至采购单位或采购代理机构经办人修改采购结果。限时确认，超过规定时间不确认系统则视为已确认。</w:t>
      </w:r>
    </w:p>
    <w:p w14:paraId="7039DDB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★26．采购结果查询</w:t>
      </w:r>
    </w:p>
    <w:p w14:paraId="4E7266B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供应商可查询已参与项目的采购结果。包括项目编号、采购单位、项目名称、金额、项目状态、是否中标等信息。</w:t>
      </w:r>
    </w:p>
    <w:p w14:paraId="3560BA7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27.中标（成交）通知书发送</w:t>
      </w:r>
    </w:p>
    <w:p w14:paraId="0099F14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采购代理机构经办人可向成交供应商发中标（成交）通知书，支持在线编制在线签章发送。</w:t>
      </w:r>
    </w:p>
    <w:p w14:paraId="7D59F18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★28．中标（成交）通知书查看</w:t>
      </w:r>
    </w:p>
    <w:p w14:paraId="3C5AC85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供应商可下载中标（成交）通知书文件。中标（成交）通知书内容包括：供应商名称、项目编号、项目名称、中标金额、联系人、中标时间等信息。</w:t>
      </w:r>
    </w:p>
    <w:p w14:paraId="13E7D15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★29．在线质疑、投诉</w:t>
      </w:r>
    </w:p>
    <w:p w14:paraId="5FC1D8F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1）支持供应商在法定期限内向采购人、采购代理机构在线提起质疑。</w:t>
      </w:r>
    </w:p>
    <w:p w14:paraId="0C42D689">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2）支持录入质疑事项、质疑请求、事实依据、法律依据等信息。</w:t>
      </w:r>
    </w:p>
    <w:p w14:paraId="1645F79B">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3）支持采购人、采购代理机构上传质疑答复。</w:t>
      </w:r>
    </w:p>
    <w:p w14:paraId="1C30561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4）支持供应商在线查看质疑回复。</w:t>
      </w:r>
    </w:p>
    <w:p w14:paraId="3A69156D">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5）支持系统自动记录质疑及回复的时间、内容。</w:t>
      </w:r>
    </w:p>
    <w:p w14:paraId="6C89267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6）支持质疑供应商在线提交投诉材料。</w:t>
      </w:r>
    </w:p>
    <w:p w14:paraId="56C4FE8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7）支持政府采购监管部门在线发送投诉处理文书。</w:t>
      </w:r>
    </w:p>
    <w:p w14:paraId="79FB91D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8）支持被投诉人和相关当事人在线查看投诉材料和投诉处理文书，上传投诉答复。</w:t>
      </w:r>
    </w:p>
    <w:p w14:paraId="0B69317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9）支持政府采购监管部门在线上传投诉处理决定，投诉人、被投诉人和相关当事人均可查看投诉处理结果。</w:t>
      </w:r>
    </w:p>
    <w:p w14:paraId="4215A23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10）支持系统自动记录投诉及与投诉有关的时间、内容。</w:t>
      </w:r>
    </w:p>
    <w:p w14:paraId="717F159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★30．合同签订</w:t>
      </w:r>
    </w:p>
    <w:p w14:paraId="1F4D435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1）支持采购人与中标（成交）供应商在线签订政府采购合同。</w:t>
      </w:r>
    </w:p>
    <w:p w14:paraId="786F8CA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2)支持在线起草（或使用预置模板）编制合同，并将合同发送至双方进行审核确认。</w:t>
      </w:r>
    </w:p>
    <w:p w14:paraId="34A99A7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3)支持对签订的合同进行在线电子签章。</w:t>
      </w:r>
    </w:p>
    <w:p w14:paraId="29185AC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4)支持合同签订时间预警。</w:t>
      </w:r>
    </w:p>
    <w:p w14:paraId="2C3122AD">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5)支持在线发起合同撤销。</w:t>
      </w:r>
    </w:p>
    <w:p w14:paraId="4260DA0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6)支持将合同推送至云南省政府采购监管系统进行公示及备案。</w:t>
      </w:r>
    </w:p>
    <w:p w14:paraId="4A55228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7)支持根据多种条件对合同进行查询。</w:t>
      </w:r>
    </w:p>
    <w:p w14:paraId="0D3AFD5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★31．履约验收</w:t>
      </w:r>
    </w:p>
    <w:p w14:paraId="5ACA49B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 xml:space="preserve">支持对政府采购合同的履约管理。在线填写履约验收情况，上传履约验收报告，发布履约验收公告。支持多次录入阶段履约验收情况，支持对合同服约查询功能。   </w:t>
      </w:r>
    </w:p>
    <w:p w14:paraId="1F46240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★32．统计分析系统</w:t>
      </w:r>
    </w:p>
    <w:p w14:paraId="6A6AD7E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1)归集采购人、采购代理机构、供应商、评审专家在各项政府采购活动中产生的数据，对数据进行分析、比对，为</w:t>
      </w:r>
      <w:r>
        <w:rPr>
          <w:rFonts w:hint="eastAsia" w:ascii="Times New Roman" w:hAnsi="Times New Roman"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lang w:val="en-US" w:eastAsia="zh-CN"/>
        </w:rPr>
        <w:t>互联网＋监管</w:t>
      </w:r>
      <w:r>
        <w:rPr>
          <w:rFonts w:hint="eastAsia" w:ascii="Times New Roman" w:hAnsi="Times New Roman"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lang w:val="en-US" w:eastAsia="zh-CN"/>
        </w:rPr>
        <w:t>提供真实、准确的数据支撑。在各业务功能模块中实现数据查询和导出的功能，能适用于日常的业务查询要求，同时可将查询结果导出为多种文件格式、统计图表。</w:t>
      </w:r>
    </w:p>
    <w:p w14:paraId="7FA2F7B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政采云电子卖场、框架协议采购数据同步推送电子化交易系统系统，实现对政采云电子卖场、框架协议和电子化交易系统数据同步查询统计分析，且市级要能对各县（市、区）政采云电子卖场、框架协议和电子化交易系统的数据进行同步查询统计分析，为政府采购监管部门的决策提供数据支撑，包括多类型多维度查询分析服务。</w:t>
      </w:r>
    </w:p>
    <w:p w14:paraId="66669C0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★33．巡检功能</w:t>
      </w:r>
    </w:p>
    <w:p w14:paraId="68E0885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运用大数据针对电子招投标全流程可开展以下各个维度的巡检：投标（响应）文件文本异常、投标人信息异常（投标人在所有投标项目中上传标书时所填写的</w:t>
      </w:r>
      <w:r>
        <w:rPr>
          <w:rFonts w:hint="eastAsia" w:ascii="Times New Roman" w:hAnsi="Times New Roman"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lang w:val="en-US" w:eastAsia="zh-CN"/>
        </w:rPr>
        <w:t>法定代表人或授权代表</w:t>
      </w:r>
      <w:r>
        <w:rPr>
          <w:rFonts w:hint="eastAsia" w:ascii="Times New Roman" w:hAnsi="Times New Roman"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lang w:val="en-US" w:eastAsia="zh-CN"/>
        </w:rPr>
        <w:t>姓名和手机号码存在相同）、专家评分异常、对投标硬件设备异常（供应商 MAC 地址，IP 地址相同）等。</w:t>
      </w:r>
    </w:p>
    <w:p w14:paraId="2CCEBC6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★34．诚信管理</w:t>
      </w:r>
    </w:p>
    <w:p w14:paraId="45A60BD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支持评价管理。实现对采购人、采购代理机构、供应商、专家等当事人开展多个维度的互评。</w:t>
      </w:r>
    </w:p>
    <w:p w14:paraId="735B2A2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支持财政部门设置评价指标。</w:t>
      </w:r>
    </w:p>
    <w:p w14:paraId="6EA4669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支持评价结果应用及财政部门对采购当事人违规行为惩处操作。</w:t>
      </w:r>
    </w:p>
    <w:p w14:paraId="61CFD42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支持信用信息查询。</w:t>
      </w:r>
    </w:p>
    <w:p w14:paraId="48A31CC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★35．电子档案</w:t>
      </w:r>
    </w:p>
    <w:p w14:paraId="0C5CFE6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系统须实现采购档案电子化线上归档管理。</w:t>
      </w:r>
    </w:p>
    <w:p w14:paraId="015545F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★36．其它功能要求</w:t>
      </w:r>
    </w:p>
    <w:p w14:paraId="78CDE9A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1)模板库</w:t>
      </w:r>
    </w:p>
    <w:p w14:paraId="0608C0E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①提供模</w:t>
      </w:r>
      <w:r>
        <w:rPr>
          <w:rFonts w:hint="eastAsia" w:eastAsia="方正仿宋_GBK" w:cs="Times New Roman"/>
          <w:b w:val="0"/>
          <w:bCs w:val="0"/>
          <w:sz w:val="32"/>
          <w:szCs w:val="32"/>
          <w:lang w:val="en-US" w:eastAsia="zh-CN"/>
        </w:rPr>
        <w:t>板</w:t>
      </w:r>
      <w:r>
        <w:rPr>
          <w:rFonts w:hint="default" w:ascii="Times New Roman" w:hAnsi="Times New Roman" w:eastAsia="方正仿宋_GBK" w:cs="Times New Roman"/>
          <w:b w:val="0"/>
          <w:bCs w:val="0"/>
          <w:sz w:val="32"/>
          <w:szCs w:val="32"/>
          <w:lang w:val="en-US" w:eastAsia="zh-CN"/>
        </w:rPr>
        <w:t>管理功能，支持平台级、区划级模</w:t>
      </w:r>
      <w:r>
        <w:rPr>
          <w:rFonts w:hint="eastAsia" w:eastAsia="方正仿宋_GBK" w:cs="Times New Roman"/>
          <w:b w:val="0"/>
          <w:bCs w:val="0"/>
          <w:sz w:val="32"/>
          <w:szCs w:val="32"/>
          <w:lang w:val="en-US" w:eastAsia="zh-CN"/>
        </w:rPr>
        <w:t>板</w:t>
      </w:r>
      <w:r>
        <w:rPr>
          <w:rFonts w:hint="default" w:ascii="Times New Roman" w:hAnsi="Times New Roman" w:eastAsia="方正仿宋_GBK" w:cs="Times New Roman"/>
          <w:b w:val="0"/>
          <w:bCs w:val="0"/>
          <w:sz w:val="32"/>
          <w:szCs w:val="32"/>
          <w:lang w:val="en-US" w:eastAsia="zh-CN"/>
        </w:rPr>
        <w:t>配置、修改、授权、发布、查询等功能，包括：采购环节模</w:t>
      </w:r>
      <w:r>
        <w:rPr>
          <w:rFonts w:hint="eastAsia" w:eastAsia="方正仿宋_GBK" w:cs="Times New Roman"/>
          <w:b w:val="0"/>
          <w:bCs w:val="0"/>
          <w:sz w:val="32"/>
          <w:szCs w:val="32"/>
          <w:lang w:val="en-US" w:eastAsia="zh-CN"/>
        </w:rPr>
        <w:t>板</w:t>
      </w:r>
      <w:r>
        <w:rPr>
          <w:rFonts w:hint="default" w:ascii="Times New Roman" w:hAnsi="Times New Roman" w:eastAsia="方正仿宋_GBK" w:cs="Times New Roman"/>
          <w:b w:val="0"/>
          <w:bCs w:val="0"/>
          <w:sz w:val="32"/>
          <w:szCs w:val="32"/>
          <w:lang w:val="en-US" w:eastAsia="zh-CN"/>
        </w:rPr>
        <w:t>（委托协议、公告、采购文件、中标（成交）通知书、合同公示、单一来源公示等）、采购过程模板（开标一览表模板、通知书模板、评标表格模板、资格审查表模板、符合性审查表模板、实质性审查表模板）、合同模板、监督管理模</w:t>
      </w:r>
      <w:r>
        <w:rPr>
          <w:rFonts w:hint="eastAsia" w:eastAsia="方正仿宋_GBK" w:cs="Times New Roman"/>
          <w:b w:val="0"/>
          <w:bCs w:val="0"/>
          <w:sz w:val="32"/>
          <w:szCs w:val="32"/>
          <w:lang w:val="en-US" w:eastAsia="zh-CN"/>
        </w:rPr>
        <w:t>板</w:t>
      </w:r>
      <w:r>
        <w:rPr>
          <w:rFonts w:hint="default" w:ascii="Times New Roman" w:hAnsi="Times New Roman" w:eastAsia="方正仿宋_GBK" w:cs="Times New Roman"/>
          <w:b w:val="0"/>
          <w:bCs w:val="0"/>
          <w:sz w:val="32"/>
          <w:szCs w:val="32"/>
          <w:lang w:val="en-US" w:eastAsia="zh-CN"/>
        </w:rPr>
        <w:t>、统计分析模板。</w:t>
      </w:r>
    </w:p>
    <w:p w14:paraId="3BF9B21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②支持用户模板自定义并进行保存、调用、删除。</w:t>
      </w:r>
    </w:p>
    <w:p w14:paraId="29091BFD">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2)远程异地开评标具备远程异地开评标的功能。</w:t>
      </w:r>
    </w:p>
    <w:p w14:paraId="6F7E8C9B">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敏感词管理系统集合全平台敏感词，可实现平台级、区划级敏感词的配置，敏感词等级分为提醒级、强控级。在电子化交易全流程各个阶段均结合敏感词校验，通过敏感词筛查技术，在采购文件编制、公告编制等业务触发敏感词信息。通过</w:t>
      </w:r>
      <w:r>
        <w:rPr>
          <w:rFonts w:hint="eastAsia" w:ascii="Times New Roman" w:hAnsi="Times New Roman"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lang w:val="en-US" w:eastAsia="zh-CN"/>
        </w:rPr>
        <w:t>痕迹化</w:t>
      </w:r>
      <w:r>
        <w:rPr>
          <w:rFonts w:hint="eastAsia" w:ascii="Times New Roman" w:hAnsi="Times New Roman"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lang w:val="en-US" w:eastAsia="zh-CN"/>
        </w:rPr>
        <w:t>功能，予以记录在案，便于责任追溯时</w:t>
      </w:r>
      <w:r>
        <w:rPr>
          <w:rFonts w:hint="eastAsia" w:ascii="Times New Roman" w:hAnsi="Times New Roman"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lang w:val="en-US" w:eastAsia="zh-CN"/>
        </w:rPr>
        <w:t>有据可查、责任到人</w:t>
      </w:r>
      <w:r>
        <w:rPr>
          <w:rFonts w:hint="eastAsia" w:ascii="Times New Roman" w:hAnsi="Times New Roman"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lang w:val="en-US" w:eastAsia="zh-CN"/>
        </w:rPr>
        <w:t>全方面严格管理线上信息。</w:t>
      </w:r>
    </w:p>
    <w:p w14:paraId="2AB075E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4）CA 锁互认全流程电子签章，按照财政部门要求对 CA 进行对接。能与云南省公共资源交易系统采用的 CA 锁实现互认。</w:t>
      </w:r>
    </w:p>
    <w:p w14:paraId="4BFB914D">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5）智能监督预警系统具有智能化监督预警功能，根据财政部门制定的规则，系统对数据进行分析，对可能存在的违规行为进行预警，包括围串标分析等功能，同时可与相应的业务系统相结合，在业务办理过程中给出风险提醒，包括未按法定时限履行采购程序预警提示直至限制使用等功能。</w:t>
      </w:r>
    </w:p>
    <w:p w14:paraId="60F895D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三、系统对接要求</w:t>
      </w:r>
    </w:p>
    <w:p w14:paraId="581BFD4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电子化交易系统对接要求：能够与云南省政府采购管理信息系统对接，接收云南省政府采购管理信息系统推送的采购计划、公告、合同等，完成采购活动后，向云南省政府采购管理信息系统返回采购过程相关信息。</w:t>
      </w:r>
    </w:p>
    <w:p w14:paraId="4FCB49DD">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★2）电子化交易系统能够与政采云电子卖场、框架协议采购无缝对接。</w:t>
      </w:r>
    </w:p>
    <w:p w14:paraId="0A7CED8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系统支持与公共资源交易门禁系统对接。</w:t>
      </w:r>
    </w:p>
    <w:p w14:paraId="1A20F86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★4）系统能够实现在全省范围无差别远程异地评审包含省级系统（政采云电子交易系统）及其他州市使用电子交易系统。</w:t>
      </w:r>
    </w:p>
    <w:p w14:paraId="05DA85C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四、安全保障</w:t>
      </w:r>
    </w:p>
    <w:p w14:paraId="0A32475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1．系统支持互联网协议第六版（ IPv 6）的技术要求，提供包括但不限于物理安全、网络安全、主机安全、应用安全、业务安全、数据安全等各类安全防护措施。</w:t>
      </w:r>
    </w:p>
    <w:p w14:paraId="6660569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2．提供多个不同层面的安全架构保障，保护数据的可用性、机密性和完整性；提供多种安全机制保护账户安全以防止未授权的用户操作；对系统可能发生的安全威胁和异常事件进行积极响应和处理。</w:t>
      </w:r>
    </w:p>
    <w:p w14:paraId="6C346E9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3．充分利用密码技术，对于需要保密的信息，采用商用密码技术进行加解密处理，防止信息的非授权泄漏，确保相关信息在产生、存储、传递和处理过程中的保密。</w:t>
      </w:r>
    </w:p>
    <w:p w14:paraId="61DD557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4．用户隐私数据安全方面符合相关国家和行业标准要求，防止用户隐私泄露。</w:t>
      </w:r>
    </w:p>
    <w:p w14:paraId="54A222F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5．系统需具备实时监测、发现、处理安全问题的能力，包括但不限于全自动检测和攻击策略匹配，实时防护 CC 恶意攻击以及大规模 DDOS 攻击等。同时需具备实时监测，处置涉黄、涉暴、反动等图片能力。</w:t>
      </w:r>
    </w:p>
    <w:p w14:paraId="4F8EAFA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6．对依据法律规定及系统要求对用户数据信息进行保护和处理。</w:t>
      </w:r>
    </w:p>
    <w:p w14:paraId="354B7C8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7．突发应急处理：如中标人交付的系统上线运行时，在系统运行环境出现故障或意外情况导致系统不能正常运行或导致业务中断时，中标人应对故障进行限时处理，包括针对不同故障级别的响应时间和响应内容。</w:t>
      </w:r>
    </w:p>
    <w:p w14:paraId="75BE384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8．系统建设符合信息系统安全三级等保要求。</w:t>
      </w:r>
    </w:p>
    <w:p w14:paraId="1ADBE20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五、培训</w:t>
      </w:r>
    </w:p>
    <w:p w14:paraId="1183ADD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提供完善的培训服务，根据系统使用实际需求，提供针对采购人、采购代理机构、评审专家、供应商等角色的培训。培训内容包括系统使用操作、常见问题处理等。培训应当采用线上线下结合方式开展，即可根据需要组织线下集中培训，也可提供在线教程及远程培训。投标人应向培训对象提供培训课件，培训产生的相关费用由投标人承担。</w:t>
      </w:r>
    </w:p>
    <w:p w14:paraId="7C1E997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2．培训内容</w:t>
      </w:r>
    </w:p>
    <w:tbl>
      <w:tblPr>
        <w:tblStyle w:val="38"/>
        <w:tblW w:w="98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6"/>
        <w:gridCol w:w="2790"/>
        <w:gridCol w:w="5802"/>
      </w:tblGrid>
      <w:tr w14:paraId="19433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atLeast"/>
        </w:trPr>
        <w:tc>
          <w:tcPr>
            <w:tcW w:w="1256" w:type="dxa"/>
            <w:vAlign w:val="top"/>
          </w:tcPr>
          <w:p w14:paraId="278071A1">
            <w:pPr>
              <w:keepNext w:val="0"/>
              <w:keepLines w:val="0"/>
              <w:pageBreakBefore w:val="0"/>
              <w:widowControl w:val="0"/>
              <w:kinsoku w:val="0"/>
              <w:wordWrap/>
              <w:overflowPunct w:val="0"/>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val="0"/>
                <w:sz w:val="32"/>
                <w:szCs w:val="32"/>
                <w:lang w:val="en-US" w:eastAsia="zh-CN"/>
              </w:rPr>
            </w:pPr>
            <w:r>
              <w:rPr>
                <w:rFonts w:hint="eastAsia" w:ascii="Times New Roman" w:hAnsi="Times New Roman" w:eastAsia="方正仿宋_GBK" w:cs="Times New Roman"/>
                <w:b w:val="0"/>
                <w:bCs w:val="0"/>
                <w:sz w:val="32"/>
                <w:szCs w:val="32"/>
                <w:lang w:val="en-US" w:eastAsia="zh-CN"/>
              </w:rPr>
              <w:t>序号</w:t>
            </w:r>
          </w:p>
        </w:tc>
        <w:tc>
          <w:tcPr>
            <w:tcW w:w="2790" w:type="dxa"/>
            <w:vAlign w:val="top"/>
          </w:tcPr>
          <w:p w14:paraId="48C98179">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培训对象</w:t>
            </w:r>
          </w:p>
        </w:tc>
        <w:tc>
          <w:tcPr>
            <w:tcW w:w="5802" w:type="dxa"/>
            <w:vAlign w:val="top"/>
          </w:tcPr>
          <w:p w14:paraId="7CF1C71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培训内容</w:t>
            </w:r>
          </w:p>
        </w:tc>
      </w:tr>
      <w:tr w14:paraId="3CF91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top"/>
          </w:tcPr>
          <w:p w14:paraId="66BD3C6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w:t>
            </w:r>
          </w:p>
        </w:tc>
        <w:tc>
          <w:tcPr>
            <w:tcW w:w="2790" w:type="dxa"/>
            <w:vAlign w:val="top"/>
          </w:tcPr>
          <w:p w14:paraId="251E33B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政府采购管理部门</w:t>
            </w:r>
          </w:p>
        </w:tc>
        <w:tc>
          <w:tcPr>
            <w:tcW w:w="5802" w:type="dxa"/>
            <w:vAlign w:val="top"/>
          </w:tcPr>
          <w:p w14:paraId="56123E1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电子化交易系统操作说明</w:t>
            </w:r>
          </w:p>
        </w:tc>
      </w:tr>
      <w:tr w14:paraId="5E5B7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top"/>
          </w:tcPr>
          <w:p w14:paraId="79D6FA4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w:t>
            </w:r>
          </w:p>
        </w:tc>
        <w:tc>
          <w:tcPr>
            <w:tcW w:w="2790" w:type="dxa"/>
            <w:vAlign w:val="top"/>
          </w:tcPr>
          <w:p w14:paraId="769E759B">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采购人</w:t>
            </w:r>
          </w:p>
        </w:tc>
        <w:tc>
          <w:tcPr>
            <w:tcW w:w="5802" w:type="dxa"/>
            <w:vAlign w:val="top"/>
          </w:tcPr>
          <w:p w14:paraId="19ECE9A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电子化交易系统采购人操作说明</w:t>
            </w:r>
          </w:p>
        </w:tc>
      </w:tr>
      <w:tr w14:paraId="05A1F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top"/>
          </w:tcPr>
          <w:p w14:paraId="490245B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w:t>
            </w:r>
          </w:p>
        </w:tc>
        <w:tc>
          <w:tcPr>
            <w:tcW w:w="2790" w:type="dxa"/>
            <w:vAlign w:val="top"/>
          </w:tcPr>
          <w:p w14:paraId="5180641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采购代理机构</w:t>
            </w:r>
          </w:p>
        </w:tc>
        <w:tc>
          <w:tcPr>
            <w:tcW w:w="5802" w:type="dxa"/>
            <w:vAlign w:val="top"/>
          </w:tcPr>
          <w:p w14:paraId="11C06FC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电子化交易系统采购代理机构操作说明</w:t>
            </w:r>
          </w:p>
        </w:tc>
      </w:tr>
      <w:tr w14:paraId="0EB5D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top"/>
          </w:tcPr>
          <w:p w14:paraId="4654285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4</w:t>
            </w:r>
          </w:p>
        </w:tc>
        <w:tc>
          <w:tcPr>
            <w:tcW w:w="2790" w:type="dxa"/>
            <w:vAlign w:val="top"/>
          </w:tcPr>
          <w:p w14:paraId="50F7AD8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供应商</w:t>
            </w:r>
          </w:p>
        </w:tc>
        <w:tc>
          <w:tcPr>
            <w:tcW w:w="5802" w:type="dxa"/>
            <w:vAlign w:val="top"/>
          </w:tcPr>
          <w:p w14:paraId="19C4DFE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电子化交易系统供应商操作说明</w:t>
            </w:r>
          </w:p>
        </w:tc>
      </w:tr>
      <w:tr w14:paraId="5B209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top"/>
          </w:tcPr>
          <w:p w14:paraId="50CFB7E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5</w:t>
            </w:r>
          </w:p>
        </w:tc>
        <w:tc>
          <w:tcPr>
            <w:tcW w:w="2790" w:type="dxa"/>
            <w:vAlign w:val="top"/>
          </w:tcPr>
          <w:p w14:paraId="2D04D3B9">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评审专家</w:t>
            </w:r>
          </w:p>
        </w:tc>
        <w:tc>
          <w:tcPr>
            <w:tcW w:w="5802" w:type="dxa"/>
            <w:vAlign w:val="top"/>
          </w:tcPr>
          <w:p w14:paraId="45D115D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电子化交易系统评审专家操作说明</w:t>
            </w:r>
          </w:p>
        </w:tc>
      </w:tr>
    </w:tbl>
    <w:p w14:paraId="35BA910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3.培训频次</w:t>
      </w:r>
    </w:p>
    <w:p w14:paraId="32C3C16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服务期间，投标人应按照采购人要求提供培训不少于4次，包括2次线下、2次线上培训。如因疫情防控等特殊因素，经采购人同意，线下培训可以改为线上培训。</w:t>
      </w:r>
    </w:p>
    <w:p w14:paraId="4034F96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六、服务</w:t>
      </w:r>
    </w:p>
    <w:p w14:paraId="326D032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1.提供7×24小时技术服务；</w:t>
      </w:r>
    </w:p>
    <w:p w14:paraId="32F7EBA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★2.长期驻场服务。要求成交人提供本公司专职人员（至少1人）驻场服务（驻场地点：曲靖市财政局），不提供驻场服务，视为不响应采购需求。</w:t>
      </w:r>
    </w:p>
    <w:p w14:paraId="682DAAE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提供 5*8 小时（指工作日，周一至周五，节假日除外）的客户热线/在线服务，解答用户在使用中的问题。</w:t>
      </w:r>
    </w:p>
    <w:p w14:paraId="269BD22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七、其他</w:t>
      </w:r>
    </w:p>
    <w:p w14:paraId="08517C2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1.本地化部署，平台使用的云计算资源由曲靖市大数据中心统筹保障，按照实际需求使用曲靖市云计算中心资源。</w:t>
      </w:r>
    </w:p>
    <w:p w14:paraId="51DA903A">
      <w:pPr>
        <w:pStyle w:val="3"/>
        <w:keepNext/>
        <w:keepLines/>
        <w:pageBreakBefore w:val="0"/>
        <w:widowControl w:val="0"/>
        <w:kinsoku/>
        <w:wordWrap/>
        <w:overflowPunct/>
        <w:topLinePunct w:val="0"/>
        <w:autoSpaceDE/>
        <w:autoSpaceDN/>
        <w:bidi w:val="0"/>
        <w:adjustRightInd/>
        <w:snapToGrid/>
        <w:spacing w:before="0" w:beforeLines="0" w:after="0" w:afterLines="0"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w:t>
      </w:r>
      <w:r>
        <w:rPr>
          <w:rFonts w:hint="eastAsia" w:ascii="Times New Roman" w:hAnsi="Times New Roman" w:eastAsia="方正仿宋_GBK" w:cs="Times New Roman"/>
          <w:b w:val="0"/>
          <w:bCs w:val="0"/>
          <w:color w:val="auto"/>
          <w:sz w:val="32"/>
          <w:szCs w:val="32"/>
          <w:highlight w:val="none"/>
          <w:lang w:val="en-US" w:eastAsia="zh-CN"/>
        </w:rPr>
        <w:t>建设期限：自合同签订之日起 3 个月内完成系统整体上线。</w:t>
      </w:r>
    </w:p>
    <w:p w14:paraId="12CEAE0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eastAsia" w:eastAsia="方正仿宋_GBK" w:cs="Times New Roman"/>
          <w:b w:val="0"/>
          <w:bCs w:val="0"/>
          <w:sz w:val="32"/>
          <w:szCs w:val="32"/>
          <w:lang w:val="en-US" w:eastAsia="zh-CN"/>
        </w:rPr>
        <w:t>3.</w:t>
      </w:r>
      <w:r>
        <w:rPr>
          <w:rFonts w:hint="default" w:ascii="Times New Roman" w:hAnsi="Times New Roman" w:eastAsia="方正仿宋_GBK" w:cs="Times New Roman"/>
          <w:b w:val="0"/>
          <w:bCs w:val="0"/>
          <w:sz w:val="32"/>
          <w:szCs w:val="32"/>
          <w:lang w:val="en-US" w:eastAsia="zh-CN"/>
        </w:rPr>
        <w:t>要求对系统功能进行演示。</w:t>
      </w:r>
    </w:p>
    <w:p w14:paraId="3755F43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eastAsia" w:eastAsia="方正仿宋_GBK" w:cs="Times New Roman"/>
          <w:b w:val="0"/>
          <w:bCs w:val="0"/>
          <w:sz w:val="32"/>
          <w:szCs w:val="32"/>
          <w:lang w:val="en-US" w:eastAsia="zh-CN"/>
        </w:rPr>
        <w:t>4.</w:t>
      </w:r>
      <w:r>
        <w:rPr>
          <w:rFonts w:hint="default" w:ascii="Times New Roman" w:hAnsi="Times New Roman" w:eastAsia="方正仿宋_GBK" w:cs="Times New Roman"/>
          <w:b w:val="0"/>
          <w:bCs w:val="0"/>
          <w:sz w:val="32"/>
          <w:szCs w:val="32"/>
          <w:lang w:val="en-US" w:eastAsia="zh-CN"/>
        </w:rPr>
        <w:t>.县（市、区）项目建设费、运维费不得高于市级。</w:t>
      </w:r>
    </w:p>
    <w:p w14:paraId="5B0E7B3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eastAsia" w:eastAsia="方正仿宋_GBK" w:cs="Times New Roman"/>
          <w:b w:val="0"/>
          <w:bCs w:val="0"/>
          <w:sz w:val="32"/>
          <w:szCs w:val="32"/>
          <w:lang w:val="en-US" w:eastAsia="zh-CN"/>
        </w:rPr>
        <w:t>5</w:t>
      </w:r>
      <w:r>
        <w:rPr>
          <w:rFonts w:hint="default" w:ascii="Times New Roman" w:hAnsi="Times New Roman" w:eastAsia="方正仿宋_GBK" w:cs="Times New Roman"/>
          <w:b w:val="0"/>
          <w:bCs w:val="0"/>
          <w:sz w:val="32"/>
          <w:szCs w:val="32"/>
          <w:lang w:val="en-US" w:eastAsia="zh-CN"/>
        </w:rPr>
        <w:t>.本项目采购执行三年，第二、第三年签订运维合同，合同一年一签。</w:t>
      </w:r>
    </w:p>
    <w:p w14:paraId="21E4097D">
      <w:pPr>
        <w:pStyle w:val="21"/>
        <w:keepNext w:val="0"/>
        <w:keepLines w:val="0"/>
        <w:pageBreakBefore w:val="0"/>
        <w:widowControl w:val="0"/>
        <w:tabs>
          <w:tab w:val="left" w:pos="1261"/>
          <w:tab w:val="center" w:pos="4995"/>
        </w:tabs>
        <w:kinsoku/>
        <w:wordWrap/>
        <w:overflowPunct/>
        <w:topLinePunct w:val="0"/>
        <w:autoSpaceDE/>
        <w:autoSpaceDN/>
        <w:bidi w:val="0"/>
        <w:adjustRightInd/>
        <w:snapToGrid/>
        <w:spacing w:line="600" w:lineRule="exact"/>
        <w:ind w:firstLine="640" w:firstLineChars="200"/>
        <w:jc w:val="both"/>
        <w:textAlignment w:val="auto"/>
        <w:outlineLvl w:val="0"/>
        <w:rPr>
          <w:rFonts w:hint="default" w:ascii="Times New Roman" w:hAnsi="Times New Roman" w:eastAsia="方正仿宋_GBK" w:cs="Times New Roman"/>
          <w:b w:val="0"/>
          <w:bCs w:val="0"/>
          <w:sz w:val="32"/>
          <w:szCs w:val="32"/>
        </w:rPr>
      </w:pPr>
      <w:bookmarkStart w:id="58" w:name="_Toc5340"/>
    </w:p>
    <w:p w14:paraId="60965B8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rPr>
      </w:pPr>
    </w:p>
    <w:p w14:paraId="0A250827">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rPr>
      </w:pPr>
    </w:p>
    <w:p w14:paraId="5C8D5449">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rPr>
      </w:pPr>
    </w:p>
    <w:p w14:paraId="64553381">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rPr>
      </w:pPr>
    </w:p>
    <w:p w14:paraId="5B25A360">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rPr>
      </w:pPr>
    </w:p>
    <w:p w14:paraId="72A0F11D">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rPr>
      </w:pPr>
    </w:p>
    <w:p w14:paraId="30C2AD8B">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rPr>
      </w:pPr>
    </w:p>
    <w:p w14:paraId="34EDB5BE">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rPr>
      </w:pPr>
    </w:p>
    <w:p w14:paraId="2C09ACBB">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rPr>
      </w:pPr>
    </w:p>
    <w:p w14:paraId="707B57A2">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rPr>
      </w:pPr>
    </w:p>
    <w:p w14:paraId="0CC6AA04">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rPr>
      </w:pPr>
    </w:p>
    <w:p w14:paraId="4DC5D077">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rPr>
      </w:pPr>
    </w:p>
    <w:p w14:paraId="67AC94F0">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rPr>
      </w:pPr>
    </w:p>
    <w:p w14:paraId="599FE4D2">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rPr>
      </w:pPr>
    </w:p>
    <w:p w14:paraId="3778F2F8">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rPr>
      </w:pPr>
    </w:p>
    <w:p w14:paraId="21E579B7">
      <w:pPr>
        <w:pStyle w:val="2"/>
        <w:rPr>
          <w:rFonts w:hint="eastAsia" w:ascii="仿宋_GB2312" w:eastAsia="仿宋_GB2312"/>
          <w:b/>
          <w:sz w:val="30"/>
          <w:szCs w:val="30"/>
        </w:rPr>
      </w:pPr>
    </w:p>
    <w:p w14:paraId="7DC5298F">
      <w:pPr>
        <w:pStyle w:val="2"/>
        <w:rPr>
          <w:rFonts w:hint="eastAsia" w:ascii="仿宋_GB2312" w:eastAsia="仿宋_GB2312"/>
          <w:b/>
          <w:sz w:val="30"/>
          <w:szCs w:val="30"/>
        </w:rPr>
      </w:pPr>
    </w:p>
    <w:p w14:paraId="2CCFA0AA">
      <w:pPr>
        <w:pStyle w:val="2"/>
        <w:rPr>
          <w:rFonts w:hint="eastAsia" w:ascii="仿宋_GB2312" w:eastAsia="仿宋_GB2312"/>
          <w:b/>
          <w:sz w:val="30"/>
          <w:szCs w:val="30"/>
        </w:rPr>
      </w:pPr>
    </w:p>
    <w:p w14:paraId="17E16D04">
      <w:pPr>
        <w:pStyle w:val="2"/>
        <w:rPr>
          <w:rFonts w:hint="eastAsia" w:ascii="仿宋_GB2312" w:eastAsia="仿宋_GB2312"/>
          <w:b/>
          <w:sz w:val="30"/>
          <w:szCs w:val="30"/>
        </w:rPr>
      </w:pPr>
    </w:p>
    <w:p w14:paraId="54BA032B">
      <w:pPr>
        <w:pStyle w:val="2"/>
        <w:rPr>
          <w:rFonts w:hint="eastAsia" w:ascii="仿宋_GB2312" w:eastAsia="仿宋_GB2312"/>
          <w:b/>
          <w:sz w:val="30"/>
          <w:szCs w:val="30"/>
        </w:rPr>
      </w:pPr>
    </w:p>
    <w:p w14:paraId="5B7DBCCD">
      <w:pPr>
        <w:pStyle w:val="2"/>
        <w:rPr>
          <w:rFonts w:hint="eastAsia" w:ascii="仿宋_GB2312" w:eastAsia="仿宋_GB2312"/>
          <w:b/>
          <w:sz w:val="30"/>
          <w:szCs w:val="30"/>
        </w:rPr>
      </w:pPr>
    </w:p>
    <w:p w14:paraId="7F24A8B1">
      <w:pPr>
        <w:pStyle w:val="21"/>
        <w:tabs>
          <w:tab w:val="left" w:pos="1261"/>
          <w:tab w:val="center" w:pos="4995"/>
        </w:tabs>
        <w:jc w:val="both"/>
        <w:outlineLvl w:val="0"/>
        <w:rPr>
          <w:rFonts w:hint="eastAsia" w:ascii="仿宋_GB2312" w:eastAsia="仿宋_GB2312"/>
          <w:b/>
          <w:sz w:val="30"/>
          <w:szCs w:val="30"/>
        </w:rPr>
      </w:pPr>
    </w:p>
    <w:p w14:paraId="6361F320">
      <w:pPr>
        <w:pStyle w:val="21"/>
        <w:tabs>
          <w:tab w:val="left" w:pos="1261"/>
          <w:tab w:val="center" w:pos="4995"/>
        </w:tabs>
        <w:jc w:val="center"/>
        <w:outlineLvl w:val="0"/>
        <w:rPr>
          <w:rFonts w:hint="eastAsia" w:ascii="仿宋_GB2312" w:eastAsia="仿宋_GB2312"/>
          <w:b/>
          <w:sz w:val="30"/>
          <w:szCs w:val="30"/>
        </w:rPr>
      </w:pPr>
    </w:p>
    <w:p w14:paraId="4AFDCF8C">
      <w:pPr>
        <w:pStyle w:val="21"/>
        <w:tabs>
          <w:tab w:val="left" w:pos="1261"/>
          <w:tab w:val="center" w:pos="4995"/>
        </w:tabs>
        <w:jc w:val="center"/>
        <w:outlineLvl w:val="0"/>
        <w:rPr>
          <w:rFonts w:hint="eastAsia" w:ascii="仿宋_GB2312" w:eastAsia="仿宋_GB2312"/>
          <w:b/>
          <w:sz w:val="30"/>
          <w:szCs w:val="30"/>
        </w:rPr>
      </w:pPr>
    </w:p>
    <w:p w14:paraId="74F9AEC0">
      <w:pPr>
        <w:pStyle w:val="21"/>
        <w:tabs>
          <w:tab w:val="left" w:pos="1261"/>
          <w:tab w:val="center" w:pos="4995"/>
        </w:tabs>
        <w:jc w:val="center"/>
        <w:outlineLvl w:val="0"/>
        <w:rPr>
          <w:rFonts w:hint="eastAsia" w:ascii="仿宋_GB2312" w:eastAsia="仿宋_GB2312"/>
          <w:b/>
          <w:sz w:val="30"/>
          <w:szCs w:val="30"/>
        </w:rPr>
      </w:pPr>
    </w:p>
    <w:p w14:paraId="28F10F5E">
      <w:pPr>
        <w:pStyle w:val="21"/>
        <w:keepNext w:val="0"/>
        <w:keepLines w:val="0"/>
        <w:pageBreakBefore w:val="0"/>
        <w:widowControl w:val="0"/>
        <w:tabs>
          <w:tab w:val="left" w:pos="1261"/>
          <w:tab w:val="center" w:pos="4995"/>
        </w:tabs>
        <w:kinsoku/>
        <w:wordWrap/>
        <w:overflowPunct/>
        <w:topLinePunct w:val="0"/>
        <w:autoSpaceDE/>
        <w:autoSpaceDN/>
        <w:bidi w:val="0"/>
        <w:adjustRightInd/>
        <w:snapToGrid/>
        <w:spacing w:line="720" w:lineRule="exact"/>
        <w:jc w:val="center"/>
        <w:textAlignment w:val="auto"/>
        <w:outlineLvl w:val="0"/>
        <w:rPr>
          <w:rFonts w:hint="eastAsia" w:ascii="方正小标宋_GBK" w:hAnsi="方正小标宋_GBK" w:eastAsia="方正小标宋_GBK" w:cs="方正小标宋_GBK"/>
          <w:b/>
          <w:sz w:val="44"/>
          <w:szCs w:val="44"/>
        </w:rPr>
      </w:pPr>
      <w:r>
        <w:rPr>
          <w:rFonts w:hint="eastAsia" w:ascii="方正小标宋_GBK" w:hAnsi="方正小标宋_GBK" w:eastAsia="方正小标宋_GBK" w:cs="方正小标宋_GBK"/>
          <w:b/>
          <w:sz w:val="44"/>
          <w:szCs w:val="44"/>
        </w:rPr>
        <w:t>第五章  合同格式文本</w:t>
      </w:r>
      <w:bookmarkEnd w:id="57"/>
      <w:bookmarkEnd w:id="58"/>
    </w:p>
    <w:p w14:paraId="5E00046F">
      <w:pPr>
        <w:jc w:val="center"/>
        <w:rPr>
          <w:rFonts w:eastAsia="仿宋_GB2312"/>
          <w:b/>
          <w:spacing w:val="100"/>
          <w:sz w:val="36"/>
        </w:rPr>
      </w:pPr>
    </w:p>
    <w:p w14:paraId="6D8A5B26">
      <w:pPr>
        <w:jc w:val="center"/>
        <w:rPr>
          <w:rFonts w:eastAsia="仿宋_GB2312"/>
          <w:b/>
          <w:spacing w:val="100"/>
          <w:sz w:val="36"/>
        </w:rPr>
      </w:pPr>
    </w:p>
    <w:p w14:paraId="3B457E37">
      <w:pPr>
        <w:jc w:val="center"/>
        <w:rPr>
          <w:rFonts w:ascii="宋体" w:hAnsi="宋体" w:cs="宋体"/>
          <w:b/>
          <w:sz w:val="112"/>
          <w:szCs w:val="112"/>
        </w:rPr>
      </w:pPr>
      <w:r>
        <w:rPr>
          <w:rFonts w:hint="eastAsia" w:ascii="宋体" w:hAnsi="宋体" w:cs="宋体"/>
          <w:b/>
          <w:sz w:val="112"/>
          <w:szCs w:val="112"/>
        </w:rPr>
        <w:t>购</w:t>
      </w:r>
    </w:p>
    <w:p w14:paraId="5ADF3908">
      <w:pPr>
        <w:jc w:val="center"/>
        <w:rPr>
          <w:rFonts w:ascii="宋体" w:hAnsi="宋体" w:cs="宋体"/>
          <w:b/>
          <w:sz w:val="112"/>
          <w:szCs w:val="112"/>
        </w:rPr>
      </w:pPr>
      <w:r>
        <w:rPr>
          <w:rFonts w:hint="eastAsia" w:ascii="宋体" w:hAnsi="宋体" w:cs="宋体"/>
          <w:b/>
          <w:sz w:val="112"/>
          <w:szCs w:val="112"/>
        </w:rPr>
        <w:t>销</w:t>
      </w:r>
    </w:p>
    <w:p w14:paraId="254CC35F">
      <w:pPr>
        <w:jc w:val="center"/>
        <w:rPr>
          <w:rFonts w:ascii="宋体" w:hAnsi="宋体" w:cs="宋体"/>
          <w:b/>
          <w:sz w:val="112"/>
          <w:szCs w:val="112"/>
        </w:rPr>
      </w:pPr>
      <w:r>
        <w:rPr>
          <w:rFonts w:hint="eastAsia" w:ascii="宋体" w:hAnsi="宋体" w:cs="宋体"/>
          <w:b/>
          <w:sz w:val="112"/>
          <w:szCs w:val="112"/>
        </w:rPr>
        <w:t>合</w:t>
      </w:r>
    </w:p>
    <w:p w14:paraId="0BB7C31B">
      <w:pPr>
        <w:jc w:val="center"/>
        <w:rPr>
          <w:rFonts w:ascii="宋体" w:hAnsi="宋体" w:cs="宋体"/>
          <w:b/>
          <w:sz w:val="112"/>
          <w:szCs w:val="112"/>
        </w:rPr>
      </w:pPr>
      <w:r>
        <w:rPr>
          <w:rFonts w:hint="eastAsia" w:ascii="宋体" w:hAnsi="宋体" w:cs="宋体"/>
          <w:b/>
          <w:sz w:val="112"/>
          <w:szCs w:val="112"/>
        </w:rPr>
        <w:t>同</w:t>
      </w:r>
    </w:p>
    <w:p w14:paraId="4DC4BB0C">
      <w:pPr>
        <w:jc w:val="center"/>
        <w:rPr>
          <w:rFonts w:ascii="宋体" w:hAnsi="宋体" w:cs="宋体"/>
          <w:b/>
          <w:szCs w:val="21"/>
        </w:rPr>
      </w:pPr>
    </w:p>
    <w:p w14:paraId="7E04D166">
      <w:pPr>
        <w:spacing w:line="740" w:lineRule="exact"/>
        <w:rPr>
          <w:sz w:val="32"/>
        </w:rPr>
      </w:pPr>
      <w:r>
        <w:rPr>
          <w:rFonts w:hint="eastAsia"/>
          <w:sz w:val="32"/>
        </w:rPr>
        <w:t xml:space="preserve">   </w:t>
      </w:r>
    </w:p>
    <w:p w14:paraId="1FC4068A">
      <w:pPr>
        <w:spacing w:line="740" w:lineRule="exact"/>
        <w:rPr>
          <w:rFonts w:ascii="宋体" w:hAnsi="宋体"/>
          <w:sz w:val="32"/>
        </w:rPr>
      </w:pPr>
      <w:r>
        <w:rPr>
          <w:rFonts w:hint="eastAsia"/>
          <w:sz w:val="32"/>
        </w:rPr>
        <w:t xml:space="preserve"> </w:t>
      </w:r>
      <w:r>
        <w:rPr>
          <w:rFonts w:hint="eastAsia" w:ascii="宋体" w:hAnsi="宋体"/>
          <w:sz w:val="32"/>
        </w:rPr>
        <w:t xml:space="preserve"> </w:t>
      </w:r>
      <w:r>
        <w:rPr>
          <w:rFonts w:hint="eastAsia" w:ascii="宋体" w:hAnsi="宋体"/>
          <w:sz w:val="32"/>
          <w:lang w:val="en-US" w:eastAsia="zh-CN"/>
        </w:rPr>
        <w:t xml:space="preserve">   </w:t>
      </w:r>
      <w:r>
        <w:rPr>
          <w:rFonts w:hint="eastAsia" w:ascii="宋体" w:hAnsi="宋体"/>
          <w:sz w:val="32"/>
        </w:rPr>
        <w:t>需求方：</w:t>
      </w:r>
      <w:r>
        <w:rPr>
          <w:rFonts w:hint="eastAsia" w:ascii="宋体" w:hAnsi="宋体"/>
          <w:sz w:val="32"/>
          <w:u w:val="single"/>
        </w:rPr>
        <w:t xml:space="preserve">                              </w:t>
      </w:r>
    </w:p>
    <w:p w14:paraId="76C24E26">
      <w:pPr>
        <w:spacing w:line="740" w:lineRule="exact"/>
        <w:rPr>
          <w:rFonts w:ascii="宋体" w:hAnsi="宋体"/>
          <w:sz w:val="32"/>
        </w:rPr>
      </w:pPr>
      <w:r>
        <w:rPr>
          <w:rFonts w:hint="eastAsia" w:ascii="宋体" w:hAnsi="宋体"/>
          <w:sz w:val="32"/>
        </w:rPr>
        <w:t xml:space="preserve">     供应方：</w:t>
      </w:r>
      <w:r>
        <w:rPr>
          <w:rFonts w:hint="eastAsia" w:ascii="宋体" w:hAnsi="宋体"/>
          <w:sz w:val="32"/>
          <w:u w:val="single"/>
        </w:rPr>
        <w:t xml:space="preserve">                              </w:t>
      </w:r>
    </w:p>
    <w:p w14:paraId="6820B51E">
      <w:pPr>
        <w:spacing w:line="740" w:lineRule="exact"/>
        <w:rPr>
          <w:sz w:val="32"/>
        </w:rPr>
      </w:pPr>
      <w:r>
        <w:rPr>
          <w:rFonts w:hint="eastAsia"/>
          <w:sz w:val="32"/>
        </w:rPr>
        <w:t xml:space="preserve">     签订地点： </w:t>
      </w:r>
    </w:p>
    <w:p w14:paraId="5FAB409D">
      <w:pPr>
        <w:spacing w:line="740" w:lineRule="exact"/>
        <w:rPr>
          <w:rFonts w:eastAsia="隶书"/>
          <w:sz w:val="32"/>
        </w:rPr>
      </w:pPr>
      <w:r>
        <w:rPr>
          <w:rFonts w:hint="eastAsia"/>
          <w:sz w:val="32"/>
        </w:rPr>
        <w:t xml:space="preserve">     签订时间：   </w:t>
      </w:r>
      <w:r>
        <w:rPr>
          <w:sz w:val="32"/>
        </w:rPr>
        <w:t xml:space="preserve">   </w:t>
      </w:r>
      <w:r>
        <w:rPr>
          <w:rFonts w:hint="eastAsia"/>
          <w:sz w:val="32"/>
        </w:rPr>
        <w:t xml:space="preserve"> 年    月    日</w:t>
      </w:r>
    </w:p>
    <w:p w14:paraId="198467BA">
      <w:pPr>
        <w:jc w:val="center"/>
        <w:rPr>
          <w:rFonts w:eastAsia="隶书"/>
          <w:sz w:val="32"/>
        </w:rPr>
      </w:pPr>
    </w:p>
    <w:p w14:paraId="5B3CEF03">
      <w:pPr>
        <w:spacing w:line="420" w:lineRule="exact"/>
        <w:ind w:firstLine="560" w:firstLineChars="200"/>
        <w:rPr>
          <w:rFonts w:ascii="仿宋" w:hAnsi="仿宋" w:eastAsia="仿宋" w:cs="仿宋"/>
          <w:sz w:val="28"/>
          <w:szCs w:val="28"/>
        </w:rPr>
        <w:sectPr>
          <w:pgSz w:w="11906" w:h="16838"/>
          <w:pgMar w:top="1134" w:right="1134" w:bottom="1247" w:left="1134" w:header="1020" w:footer="567" w:gutter="0"/>
          <w:cols w:space="720" w:num="1"/>
          <w:titlePg/>
          <w:docGrid w:linePitch="312" w:charSpace="0"/>
        </w:sectPr>
      </w:pPr>
    </w:p>
    <w:p w14:paraId="0A9C8BC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8"/>
          <w:szCs w:val="28"/>
          <w:u w:val="single"/>
          <w:lang w:val="en-US" w:eastAsia="zh-CN"/>
        </w:rPr>
      </w:pPr>
      <w:r>
        <w:rPr>
          <w:rFonts w:hint="eastAsia" w:asciiTheme="minorEastAsia" w:hAnsiTheme="minorEastAsia" w:eastAsiaTheme="minorEastAsia" w:cstheme="minorEastAsia"/>
          <w:sz w:val="28"/>
          <w:szCs w:val="28"/>
        </w:rPr>
        <w:t>甲方：</w:t>
      </w:r>
      <w:r>
        <w:rPr>
          <w:rFonts w:hint="eastAsia" w:asciiTheme="minorEastAsia" w:hAnsiTheme="minorEastAsia" w:eastAsiaTheme="minorEastAsia" w:cstheme="minorEastAsia"/>
          <w:sz w:val="28"/>
          <w:szCs w:val="28"/>
          <w:u w:val="single"/>
          <w:lang w:val="en-US" w:eastAsia="zh-CN"/>
        </w:rPr>
        <w:t xml:space="preserve">                   </w:t>
      </w:r>
    </w:p>
    <w:p w14:paraId="1E252CD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乙方：</w:t>
      </w:r>
      <w:r>
        <w:rPr>
          <w:rFonts w:hint="eastAsia" w:asciiTheme="minorEastAsia" w:hAnsiTheme="minorEastAsia" w:eastAsiaTheme="minorEastAsia" w:cstheme="minorEastAsia"/>
          <w:sz w:val="28"/>
          <w:szCs w:val="28"/>
          <w:u w:val="single"/>
          <w:lang w:val="en-US" w:eastAsia="zh-CN"/>
        </w:rPr>
        <w:t xml:space="preserve">                   </w:t>
      </w:r>
    </w:p>
    <w:p w14:paraId="750AB5AA">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为明确双方的权利和义务，依据《中华人民共和国民法典》等法律法规的相关规定，</w:t>
      </w:r>
      <w:r>
        <w:rPr>
          <w:rFonts w:hint="eastAsia" w:asciiTheme="minorEastAsia" w:hAnsiTheme="minorEastAsia" w:eastAsiaTheme="minorEastAsia" w:cstheme="minorEastAsia"/>
          <w:b w:val="0"/>
          <w:bCs w:val="0"/>
          <w:sz w:val="28"/>
          <w:szCs w:val="28"/>
          <w:lang w:val="en-US" w:eastAsia="zh-CN"/>
        </w:rPr>
        <w:t>曲靖政府采购电子化交易系统项目</w:t>
      </w:r>
      <w:r>
        <w:rPr>
          <w:rFonts w:hint="eastAsia" w:asciiTheme="minorEastAsia" w:hAnsiTheme="minorEastAsia" w:eastAsiaTheme="minorEastAsia" w:cstheme="minorEastAsia"/>
          <w:sz w:val="28"/>
          <w:szCs w:val="28"/>
        </w:rPr>
        <w:t>结果</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相关文件以及《</w:t>
      </w:r>
      <w:r>
        <w:rPr>
          <w:rFonts w:hint="eastAsia" w:asciiTheme="minorEastAsia" w:hAnsiTheme="minorEastAsia" w:eastAsiaTheme="minorEastAsia" w:cstheme="minorEastAsia"/>
          <w:sz w:val="28"/>
          <w:szCs w:val="28"/>
          <w:lang w:val="en-US" w:eastAsia="zh-CN"/>
        </w:rPr>
        <w:t>成交</w:t>
      </w:r>
      <w:r>
        <w:rPr>
          <w:rFonts w:hint="eastAsia" w:asciiTheme="minorEastAsia" w:hAnsiTheme="minorEastAsia" w:eastAsiaTheme="minorEastAsia" w:cstheme="minorEastAsia"/>
          <w:sz w:val="28"/>
          <w:szCs w:val="28"/>
        </w:rPr>
        <w:t>通知书》</w:t>
      </w:r>
      <w:r>
        <w:rPr>
          <w:rFonts w:hint="eastAsia" w:asciiTheme="minorEastAsia" w:hAnsiTheme="minorEastAsia" w:eastAsiaTheme="minorEastAsia" w:cstheme="minorEastAsia"/>
          <w:sz w:val="28"/>
          <w:szCs w:val="28"/>
          <w:lang w:val="en-US" w:eastAsia="zh-CN"/>
        </w:rPr>
        <w:t>的</w:t>
      </w:r>
      <w:r>
        <w:rPr>
          <w:rFonts w:hint="eastAsia" w:asciiTheme="minorEastAsia" w:hAnsiTheme="minorEastAsia" w:eastAsiaTheme="minorEastAsia" w:cstheme="minorEastAsia"/>
          <w:sz w:val="28"/>
          <w:szCs w:val="28"/>
        </w:rPr>
        <w:t xml:space="preserve">约定，甲乙双方就乙方向甲方提供“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rPr>
        <w:t>”的技术服务相关事宜，在平等、自愿、公平的基础上，经友好协商达成一致，签订本合同，以兹共同遵守。</w:t>
      </w:r>
    </w:p>
    <w:p w14:paraId="008673E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一、项目名称</w:t>
      </w:r>
    </w:p>
    <w:p w14:paraId="102F7E0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项目名称：</w:t>
      </w:r>
      <w:r>
        <w:rPr>
          <w:rFonts w:hint="eastAsia" w:asciiTheme="minorEastAsia" w:hAnsiTheme="minorEastAsia" w:cstheme="minorEastAsia"/>
          <w:sz w:val="28"/>
          <w:szCs w:val="28"/>
          <w:lang w:val="en-US" w:eastAsia="zh-CN"/>
        </w:rPr>
        <w:t>曲靖市</w:t>
      </w:r>
      <w:r>
        <w:rPr>
          <w:rFonts w:hint="eastAsia" w:asciiTheme="minorEastAsia" w:hAnsiTheme="minorEastAsia" w:eastAsiaTheme="minorEastAsia" w:cstheme="minorEastAsia"/>
          <w:sz w:val="28"/>
          <w:szCs w:val="28"/>
        </w:rPr>
        <w:t>政府采购电子化交易系统项目</w:t>
      </w:r>
    </w:p>
    <w:p w14:paraId="40C6243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二、合同履行期限和地点</w:t>
      </w:r>
    </w:p>
    <w:p w14:paraId="2D663F8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履行期限：</w:t>
      </w: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年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月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日至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年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月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日止。</w:t>
      </w:r>
    </w:p>
    <w:p w14:paraId="7F24ED9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履行地点：甲方指定的地点或实际提供服务发生的地点。</w:t>
      </w:r>
    </w:p>
    <w:p w14:paraId="09152F0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三、甲乙双方的权利和义务</w:t>
      </w:r>
    </w:p>
    <w:p w14:paraId="4072032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（一）甲方的权利和义务</w:t>
      </w:r>
    </w:p>
    <w:p w14:paraId="5276B02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1.甲方负责合同签订后项目协调工作；</w:t>
      </w:r>
    </w:p>
    <w:p w14:paraId="0BED78D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2.甲方负责提供项目所必</w:t>
      </w:r>
      <w:r>
        <w:rPr>
          <w:rFonts w:hint="eastAsia" w:asciiTheme="minorEastAsia" w:hAnsiTheme="minorEastAsia" w:eastAsiaTheme="minorEastAsia" w:cstheme="minorEastAsia"/>
          <w:sz w:val="28"/>
          <w:szCs w:val="28"/>
          <w:lang w:eastAsia="zh-CN"/>
        </w:rPr>
        <w:t>需</w:t>
      </w:r>
      <w:r>
        <w:rPr>
          <w:rFonts w:hint="eastAsia" w:asciiTheme="minorEastAsia" w:hAnsiTheme="minorEastAsia" w:eastAsiaTheme="minorEastAsia" w:cstheme="minorEastAsia"/>
          <w:sz w:val="28"/>
          <w:szCs w:val="28"/>
        </w:rPr>
        <w:t>的场地和环境；</w:t>
      </w:r>
    </w:p>
    <w:p w14:paraId="1804454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3.甲方负责组织用户（部门单位）对项目成果及服务情况进行验收和考评，并汇总考核结果；</w:t>
      </w:r>
    </w:p>
    <w:p w14:paraId="2CE686B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4.甲方按合同规定享有乙方履行本合同后产生的项目成果、知识产权、运维保障、客服服务和培训；</w:t>
      </w:r>
    </w:p>
    <w:p w14:paraId="1B2670BE">
      <w:pPr>
        <w:pStyle w:val="98"/>
        <w:rPr>
          <w:rFonts w:hint="eastAsia" w:eastAsiaTheme="minorEastAsia"/>
          <w:lang w:eastAsia="zh-CN"/>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甲方有权拒付合同价款以外的任何费用</w:t>
      </w:r>
      <w:r>
        <w:rPr>
          <w:rFonts w:hint="eastAsia" w:asciiTheme="minorEastAsia" w:hAnsiTheme="minorEastAsia" w:eastAsiaTheme="minorEastAsia" w:cstheme="minorEastAsia"/>
          <w:sz w:val="28"/>
          <w:szCs w:val="28"/>
          <w:lang w:eastAsia="zh-CN"/>
        </w:rPr>
        <w:t>。</w:t>
      </w:r>
    </w:p>
    <w:p w14:paraId="50C9B71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（二）乙方的权利和义务</w:t>
      </w:r>
    </w:p>
    <w:p w14:paraId="0FC88EF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1.乙方应保证项目成果符合国家及行业相关标准及规定，软硬件系统与甲方现有的相关系统无缝对接并满足甲方工作需要。</w:t>
      </w:r>
    </w:p>
    <w:p w14:paraId="5357364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2.乙方应保证按合同规定条款完成甲方项目运维保障、客服服务及培训，并以规定形式向甲方进行书面汇报；</w:t>
      </w:r>
    </w:p>
    <w:p w14:paraId="22BE645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3.乙方应保证在该项目执行过程中，甲方不受第三方提出侵犯其专利权、商标权和其他相关权利的起诉；</w:t>
      </w:r>
    </w:p>
    <w:p w14:paraId="7764CFC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4.乙方应严格遵守投标、技术澄清、商务谈判、中标所承诺的一切规定和条款，遵守甲方有关制度、工作纪律、安全规定和保密要求；</w:t>
      </w:r>
    </w:p>
    <w:p w14:paraId="1B87F97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5.乙方应负责准备相关验收、考核资料，配合甲方进行项目验收和运维保障、客服服务、培训考核；</w:t>
      </w:r>
    </w:p>
    <w:p w14:paraId="47782C6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6.乙方应开具付款申请、发票，并收取合同款项；</w:t>
      </w:r>
    </w:p>
    <w:p w14:paraId="46AF7A7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7.乙方有权对考核评价结果进行申诉；</w:t>
      </w:r>
    </w:p>
    <w:p w14:paraId="5E4357E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8.乙方应配合甲方开展相关业务工作。</w:t>
      </w:r>
    </w:p>
    <w:p w14:paraId="2D9D9490">
      <w:pPr>
        <w:spacing w:line="360" w:lineRule="auto"/>
        <w:ind w:firstLine="560" w:firstLineChars="200"/>
        <w:jc w:val="left"/>
        <w:rPr>
          <w:rFonts w:hint="eastAsia" w:asciiTheme="minorEastAsia" w:hAnsiTheme="minorEastAsia" w:eastAsiaTheme="minorEastAsia" w:cstheme="minorEastAsia"/>
          <w:sz w:val="28"/>
          <w:szCs w:val="28"/>
          <w:vertAlign w:val="baseline"/>
        </w:rPr>
      </w:pPr>
      <w:r>
        <w:rPr>
          <w:rFonts w:hint="eastAsia" w:asciiTheme="minorEastAsia" w:hAnsiTheme="minorEastAsia" w:eastAsiaTheme="minorEastAsia" w:cstheme="minorEastAsia"/>
          <w:sz w:val="28"/>
          <w:szCs w:val="28"/>
        </w:rPr>
        <w:t>四、</w:t>
      </w:r>
      <w:r>
        <w:rPr>
          <w:rFonts w:hint="eastAsia" w:asciiTheme="minorEastAsia" w:hAnsiTheme="minorEastAsia" w:eastAsiaTheme="minorEastAsia" w:cstheme="minorEastAsia"/>
          <w:sz w:val="28"/>
          <w:szCs w:val="28"/>
          <w:vertAlign w:val="baseline"/>
        </w:rPr>
        <w:t>运维保障要求：</w:t>
      </w:r>
    </w:p>
    <w:p w14:paraId="0F9A9A07">
      <w:pPr>
        <w:spacing w:line="360" w:lineRule="auto"/>
        <w:ind w:firstLine="560" w:firstLineChars="200"/>
        <w:jc w:val="left"/>
        <w:rPr>
          <w:rFonts w:hint="eastAsia" w:asciiTheme="minorEastAsia" w:hAnsiTheme="minorEastAsia" w:eastAsiaTheme="minorEastAsia" w:cstheme="minorEastAsia"/>
          <w:sz w:val="28"/>
          <w:szCs w:val="28"/>
          <w:vertAlign w:val="baseline"/>
        </w:rPr>
      </w:pPr>
      <w:r>
        <w:rPr>
          <w:rFonts w:hint="eastAsia" w:asciiTheme="minorEastAsia" w:hAnsiTheme="minorEastAsia" w:cstheme="minorEastAsia"/>
          <w:sz w:val="28"/>
          <w:szCs w:val="28"/>
          <w:vertAlign w:val="baseline"/>
          <w:lang w:val="en-US" w:eastAsia="zh-CN"/>
        </w:rPr>
        <w:t>1</w:t>
      </w:r>
      <w:r>
        <w:rPr>
          <w:rFonts w:hint="eastAsia" w:asciiTheme="minorEastAsia" w:hAnsiTheme="minorEastAsia" w:eastAsiaTheme="minorEastAsia" w:cstheme="minorEastAsia"/>
          <w:sz w:val="28"/>
          <w:szCs w:val="28"/>
          <w:vertAlign w:val="baseline"/>
        </w:rPr>
        <w:t>.服务可用性：不低于 99.9%（备注：服务可用性是指在一个月内系统无故障的时长（分钟数）与月时长（分钟数）的比率，计算方法为：1-∑（系统故障时长）/（30×24×60）。服务不可用是指因供应商系统内部故障问题导致 10％以上的用</w:t>
      </w:r>
    </w:p>
    <w:p w14:paraId="1ADB6090">
      <w:pPr>
        <w:spacing w:line="360" w:lineRule="auto"/>
        <w:jc w:val="left"/>
        <w:rPr>
          <w:rFonts w:hint="eastAsia" w:asciiTheme="minorEastAsia" w:hAnsiTheme="minorEastAsia" w:eastAsiaTheme="minorEastAsia" w:cstheme="minorEastAsia"/>
          <w:sz w:val="28"/>
          <w:szCs w:val="28"/>
          <w:vertAlign w:val="baseline"/>
        </w:rPr>
      </w:pPr>
      <w:r>
        <w:rPr>
          <w:rFonts w:hint="eastAsia" w:asciiTheme="minorEastAsia" w:hAnsiTheme="minorEastAsia" w:eastAsiaTheme="minorEastAsia" w:cstheme="minorEastAsia"/>
          <w:sz w:val="28"/>
          <w:szCs w:val="28"/>
          <w:vertAlign w:val="baseline"/>
        </w:rPr>
        <w:t>户在一段时间内无法正常交易。</w:t>
      </w:r>
    </w:p>
    <w:p w14:paraId="45CD0AA7">
      <w:pPr>
        <w:spacing w:line="360" w:lineRule="auto"/>
        <w:ind w:firstLine="560" w:firstLineChars="200"/>
        <w:jc w:val="left"/>
        <w:rPr>
          <w:rFonts w:hint="eastAsia" w:asciiTheme="minorEastAsia" w:hAnsiTheme="minorEastAsia" w:eastAsiaTheme="minorEastAsia" w:cstheme="minorEastAsia"/>
          <w:sz w:val="28"/>
          <w:szCs w:val="28"/>
          <w:vertAlign w:val="baseline"/>
        </w:rPr>
      </w:pPr>
      <w:r>
        <w:rPr>
          <w:rFonts w:hint="eastAsia" w:asciiTheme="minorEastAsia" w:hAnsiTheme="minorEastAsia" w:cstheme="minorEastAsia"/>
          <w:sz w:val="28"/>
          <w:szCs w:val="28"/>
          <w:vertAlign w:val="baseline"/>
          <w:lang w:val="en-US" w:eastAsia="zh-CN"/>
        </w:rPr>
        <w:t>2</w:t>
      </w:r>
      <w:r>
        <w:rPr>
          <w:rFonts w:hint="eastAsia" w:asciiTheme="minorEastAsia" w:hAnsiTheme="minorEastAsia" w:eastAsiaTheme="minorEastAsia" w:cstheme="minorEastAsia"/>
          <w:sz w:val="28"/>
          <w:szCs w:val="28"/>
          <w:vertAlign w:val="baseline"/>
        </w:rPr>
        <w:t>.页面请求平均响应时间：不超过 2 秒钟。（备注：请求响应时间是指用户通过</w:t>
      </w:r>
    </w:p>
    <w:p w14:paraId="32D962D2">
      <w:pPr>
        <w:spacing w:line="360" w:lineRule="auto"/>
        <w:jc w:val="left"/>
        <w:rPr>
          <w:rFonts w:hint="eastAsia" w:asciiTheme="minorEastAsia" w:hAnsiTheme="minorEastAsia" w:eastAsiaTheme="minorEastAsia" w:cstheme="minorEastAsia"/>
          <w:sz w:val="28"/>
          <w:szCs w:val="28"/>
          <w:vertAlign w:val="baseline"/>
        </w:rPr>
      </w:pPr>
      <w:r>
        <w:rPr>
          <w:rFonts w:hint="eastAsia" w:asciiTheme="minorEastAsia" w:hAnsiTheme="minorEastAsia" w:eastAsiaTheme="minorEastAsia" w:cstheme="minorEastAsia"/>
          <w:sz w:val="28"/>
          <w:szCs w:val="28"/>
          <w:vertAlign w:val="baseline"/>
        </w:rPr>
        <w:t>web 页面完整发送请求到系统开始算起到用户收到系统给予的响应为止所需要的时长）。</w:t>
      </w:r>
    </w:p>
    <w:p w14:paraId="35DFD3C7">
      <w:pPr>
        <w:spacing w:line="360" w:lineRule="auto"/>
        <w:ind w:firstLine="560" w:firstLineChars="200"/>
        <w:jc w:val="left"/>
        <w:rPr>
          <w:rFonts w:hint="eastAsia" w:asciiTheme="minorEastAsia" w:hAnsiTheme="minorEastAsia" w:eastAsiaTheme="minorEastAsia" w:cstheme="minorEastAsia"/>
          <w:sz w:val="28"/>
          <w:szCs w:val="28"/>
          <w:vertAlign w:val="baseline"/>
        </w:rPr>
      </w:pPr>
      <w:r>
        <w:rPr>
          <w:rFonts w:hint="eastAsia" w:asciiTheme="minorEastAsia" w:hAnsiTheme="minorEastAsia" w:cstheme="minorEastAsia"/>
          <w:sz w:val="28"/>
          <w:szCs w:val="28"/>
          <w:vertAlign w:val="baseline"/>
          <w:lang w:val="en-US" w:eastAsia="zh-CN"/>
        </w:rPr>
        <w:t>3</w:t>
      </w:r>
      <w:r>
        <w:rPr>
          <w:rFonts w:hint="eastAsia" w:asciiTheme="minorEastAsia" w:hAnsiTheme="minorEastAsia" w:eastAsiaTheme="minorEastAsia" w:cstheme="minorEastAsia"/>
          <w:sz w:val="28"/>
          <w:szCs w:val="28"/>
          <w:vertAlign w:val="baseline"/>
        </w:rPr>
        <w:t>.</w:t>
      </w:r>
      <w:r>
        <w:rPr>
          <w:rFonts w:hint="eastAsia" w:asciiTheme="minorEastAsia" w:hAnsiTheme="minorEastAsia" w:cstheme="minorEastAsia"/>
          <w:sz w:val="28"/>
          <w:szCs w:val="28"/>
          <w:vertAlign w:val="baseline"/>
          <w:lang w:val="en-US" w:eastAsia="zh-CN"/>
        </w:rPr>
        <w:t>成交</w:t>
      </w:r>
      <w:r>
        <w:rPr>
          <w:rFonts w:hint="eastAsia" w:asciiTheme="minorEastAsia" w:hAnsiTheme="minorEastAsia" w:eastAsiaTheme="minorEastAsia" w:cstheme="minorEastAsia"/>
          <w:sz w:val="28"/>
          <w:szCs w:val="28"/>
          <w:vertAlign w:val="baseline"/>
        </w:rPr>
        <w:t>人应负责消除采购人非人为操作所出现的故障；对因采购人原因或不可抗力以及非</w:t>
      </w:r>
      <w:r>
        <w:rPr>
          <w:rFonts w:hint="eastAsia" w:asciiTheme="minorEastAsia" w:hAnsiTheme="minorEastAsia" w:cstheme="minorEastAsia"/>
          <w:sz w:val="28"/>
          <w:szCs w:val="28"/>
          <w:vertAlign w:val="baseline"/>
          <w:lang w:val="en-US" w:eastAsia="zh-CN"/>
        </w:rPr>
        <w:t>成交</w:t>
      </w:r>
      <w:r>
        <w:rPr>
          <w:rFonts w:hint="eastAsia" w:asciiTheme="minorEastAsia" w:hAnsiTheme="minorEastAsia" w:eastAsiaTheme="minorEastAsia" w:cstheme="minorEastAsia"/>
          <w:sz w:val="28"/>
          <w:szCs w:val="28"/>
          <w:vertAlign w:val="baseline"/>
        </w:rPr>
        <w:t>人控制范围之内的事项引起的故障，投标人需积极协助采购人解决，以避免损失进一步扩大。</w:t>
      </w:r>
    </w:p>
    <w:p w14:paraId="32AB0122">
      <w:pPr>
        <w:spacing w:line="360" w:lineRule="auto"/>
        <w:ind w:firstLine="560" w:firstLineChars="200"/>
        <w:jc w:val="left"/>
        <w:rPr>
          <w:rFonts w:hint="eastAsia" w:asciiTheme="minorEastAsia" w:hAnsiTheme="minorEastAsia" w:eastAsiaTheme="minorEastAsia" w:cstheme="minorEastAsia"/>
          <w:sz w:val="28"/>
          <w:szCs w:val="28"/>
          <w:vertAlign w:val="baseline"/>
        </w:rPr>
      </w:pPr>
      <w:r>
        <w:rPr>
          <w:rFonts w:hint="eastAsia" w:asciiTheme="minorEastAsia" w:hAnsiTheme="minorEastAsia" w:cstheme="minorEastAsia"/>
          <w:sz w:val="28"/>
          <w:szCs w:val="28"/>
          <w:vertAlign w:val="baseline"/>
          <w:lang w:val="en-US" w:eastAsia="zh-CN"/>
        </w:rPr>
        <w:t>4</w:t>
      </w:r>
      <w:r>
        <w:rPr>
          <w:rFonts w:hint="eastAsia" w:asciiTheme="minorEastAsia" w:hAnsiTheme="minorEastAsia" w:eastAsiaTheme="minorEastAsia" w:cstheme="minorEastAsia"/>
          <w:sz w:val="28"/>
          <w:szCs w:val="28"/>
          <w:vertAlign w:val="baseline"/>
        </w:rPr>
        <w:t>.</w:t>
      </w:r>
      <w:r>
        <w:rPr>
          <w:rFonts w:hint="eastAsia" w:asciiTheme="minorEastAsia" w:hAnsiTheme="minorEastAsia" w:cstheme="minorEastAsia"/>
          <w:sz w:val="28"/>
          <w:szCs w:val="28"/>
          <w:vertAlign w:val="baseline"/>
          <w:lang w:val="en-US" w:eastAsia="zh-CN"/>
        </w:rPr>
        <w:t>成交</w:t>
      </w:r>
      <w:r>
        <w:rPr>
          <w:rFonts w:hint="eastAsia" w:asciiTheme="minorEastAsia" w:hAnsiTheme="minorEastAsia" w:eastAsiaTheme="minorEastAsia" w:cstheme="minorEastAsia"/>
          <w:sz w:val="28"/>
          <w:szCs w:val="28"/>
          <w:vertAlign w:val="baseline"/>
        </w:rPr>
        <w:t>人应提供 7*24 小时故障支持服务，建立应急处置机制，并有专人负责。一般性问题 2 小时内处理完毕，其他涉及数据及系统 BUG 问题承诺 1 个工作日内处理完毕，突然、紧急问题，应当在采购人规定的时限内处理完毕（不可抗力的情况除外）。</w:t>
      </w:r>
    </w:p>
    <w:p w14:paraId="3CA6D51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vertAlign w:val="baseline"/>
        </w:rPr>
      </w:pPr>
      <w:r>
        <w:rPr>
          <w:rFonts w:hint="eastAsia" w:asciiTheme="minorEastAsia" w:hAnsiTheme="minorEastAsia" w:cstheme="minorEastAsia"/>
          <w:sz w:val="28"/>
          <w:szCs w:val="28"/>
          <w:vertAlign w:val="baseline"/>
          <w:lang w:val="en-US" w:eastAsia="zh-CN"/>
        </w:rPr>
        <w:t>5</w:t>
      </w:r>
      <w:r>
        <w:rPr>
          <w:rFonts w:hint="eastAsia" w:asciiTheme="minorEastAsia" w:hAnsiTheme="minorEastAsia" w:eastAsiaTheme="minorEastAsia" w:cstheme="minorEastAsia"/>
          <w:sz w:val="28"/>
          <w:szCs w:val="28"/>
          <w:vertAlign w:val="baseline"/>
        </w:rPr>
        <w:t xml:space="preserve">. </w:t>
      </w:r>
      <w:r>
        <w:rPr>
          <w:rFonts w:hint="eastAsia" w:asciiTheme="minorEastAsia" w:hAnsiTheme="minorEastAsia" w:cstheme="minorEastAsia"/>
          <w:sz w:val="28"/>
          <w:szCs w:val="28"/>
          <w:vertAlign w:val="baseline"/>
          <w:lang w:val="en-US" w:eastAsia="zh-CN"/>
        </w:rPr>
        <w:t>成交</w:t>
      </w:r>
      <w:r>
        <w:rPr>
          <w:rFonts w:hint="eastAsia" w:asciiTheme="minorEastAsia" w:hAnsiTheme="minorEastAsia" w:eastAsiaTheme="minorEastAsia" w:cstheme="minorEastAsia"/>
          <w:sz w:val="28"/>
          <w:szCs w:val="28"/>
          <w:vertAlign w:val="baseline"/>
        </w:rPr>
        <w:t>人应根据国家和云南省的相关法律、法规、政策要求，</w:t>
      </w:r>
      <w:r>
        <w:rPr>
          <w:rFonts w:hint="eastAsia" w:asciiTheme="minorEastAsia" w:hAnsiTheme="minorEastAsia" w:cstheme="minorEastAsia"/>
          <w:sz w:val="28"/>
          <w:szCs w:val="28"/>
          <w:vertAlign w:val="baseline"/>
          <w:lang w:val="en-US" w:eastAsia="zh-CN"/>
        </w:rPr>
        <w:t>负责</w:t>
      </w:r>
      <w:r>
        <w:rPr>
          <w:rFonts w:hint="eastAsia" w:asciiTheme="minorEastAsia" w:hAnsiTheme="minorEastAsia" w:eastAsiaTheme="minorEastAsia" w:cstheme="minorEastAsia"/>
          <w:sz w:val="28"/>
          <w:szCs w:val="28"/>
          <w:vertAlign w:val="baseline"/>
        </w:rPr>
        <w:t>运维保障</w:t>
      </w:r>
      <w:r>
        <w:rPr>
          <w:rFonts w:hint="eastAsia" w:asciiTheme="minorEastAsia" w:hAnsiTheme="minorEastAsia" w:cstheme="minorEastAsia"/>
          <w:sz w:val="28"/>
          <w:szCs w:val="28"/>
          <w:vertAlign w:val="baseline"/>
          <w:lang w:eastAsia="zh-CN"/>
        </w:rPr>
        <w:t>，</w:t>
      </w:r>
      <w:r>
        <w:rPr>
          <w:rFonts w:hint="eastAsia" w:asciiTheme="minorEastAsia" w:hAnsiTheme="minorEastAsia" w:eastAsiaTheme="minorEastAsia" w:cstheme="minorEastAsia"/>
          <w:sz w:val="28"/>
          <w:szCs w:val="28"/>
          <w:vertAlign w:val="baseline"/>
        </w:rPr>
        <w:t>不得将运维保障服务工作进行转包或分包给其他第三方公司进行操作。</w:t>
      </w:r>
    </w:p>
    <w:p w14:paraId="68B38866">
      <w:pPr>
        <w:spacing w:line="360" w:lineRule="auto"/>
        <w:ind w:firstLine="560" w:firstLineChars="200"/>
        <w:jc w:val="left"/>
        <w:rPr>
          <w:rFonts w:hint="eastAsia" w:asciiTheme="minorEastAsia" w:hAnsiTheme="minorEastAsia" w:eastAsiaTheme="minorEastAsia" w:cstheme="minorEastAsia"/>
          <w:sz w:val="28"/>
          <w:szCs w:val="28"/>
          <w:vertAlign w:val="baseline"/>
        </w:rPr>
      </w:pPr>
      <w:r>
        <w:rPr>
          <w:rFonts w:hint="eastAsia" w:asciiTheme="minorEastAsia" w:hAnsiTheme="minorEastAsia" w:cstheme="minorEastAsia"/>
          <w:sz w:val="28"/>
          <w:szCs w:val="28"/>
          <w:vertAlign w:val="baseline"/>
          <w:lang w:val="en-US" w:eastAsia="zh-CN"/>
        </w:rPr>
        <w:t>五、系统建设</w:t>
      </w:r>
      <w:r>
        <w:rPr>
          <w:rFonts w:hint="eastAsia" w:asciiTheme="minorEastAsia" w:hAnsiTheme="minorEastAsia" w:eastAsiaTheme="minorEastAsia" w:cstheme="minorEastAsia"/>
          <w:sz w:val="28"/>
          <w:szCs w:val="28"/>
          <w:vertAlign w:val="baseline"/>
        </w:rPr>
        <w:t>服务要求：</w:t>
      </w:r>
    </w:p>
    <w:p w14:paraId="73D3C8D7">
      <w:pPr>
        <w:numPr>
          <w:ilvl w:val="0"/>
          <w:numId w:val="0"/>
        </w:numPr>
        <w:spacing w:line="360" w:lineRule="auto"/>
        <w:jc w:val="left"/>
        <w:rPr>
          <w:rFonts w:hint="eastAsia" w:asciiTheme="minorEastAsia" w:hAnsiTheme="minorEastAsia" w:eastAsiaTheme="minorEastAsia" w:cstheme="minorEastAsia"/>
          <w:sz w:val="28"/>
          <w:szCs w:val="28"/>
          <w:vertAlign w:val="baseline"/>
        </w:rPr>
      </w:pPr>
      <w:r>
        <w:rPr>
          <w:rFonts w:hint="eastAsia" w:asciiTheme="minorEastAsia" w:hAnsiTheme="minorEastAsia" w:cstheme="minorEastAsia"/>
          <w:sz w:val="28"/>
          <w:szCs w:val="28"/>
          <w:vertAlign w:val="baseline"/>
          <w:lang w:val="en-US" w:eastAsia="zh-CN"/>
        </w:rPr>
        <w:t xml:space="preserve">    1.成交</w:t>
      </w:r>
      <w:r>
        <w:rPr>
          <w:rFonts w:hint="eastAsia" w:asciiTheme="minorEastAsia" w:hAnsiTheme="minorEastAsia" w:eastAsiaTheme="minorEastAsia" w:cstheme="minorEastAsia"/>
          <w:sz w:val="28"/>
          <w:szCs w:val="28"/>
          <w:vertAlign w:val="baseline"/>
        </w:rPr>
        <w:t>人须</w:t>
      </w:r>
      <w:r>
        <w:rPr>
          <w:rFonts w:hint="eastAsia" w:asciiTheme="minorEastAsia" w:hAnsiTheme="minorEastAsia" w:cstheme="minorEastAsia"/>
          <w:sz w:val="28"/>
          <w:szCs w:val="28"/>
          <w:vertAlign w:val="baseline"/>
          <w:lang w:val="en-US" w:eastAsia="zh-CN"/>
        </w:rPr>
        <w:t>按国家规定和采购人的特定要求</w:t>
      </w:r>
      <w:r>
        <w:rPr>
          <w:rFonts w:hint="eastAsia" w:asciiTheme="minorEastAsia" w:hAnsiTheme="minorEastAsia" w:eastAsiaTheme="minorEastAsia" w:cstheme="minorEastAsia"/>
          <w:sz w:val="28"/>
          <w:szCs w:val="28"/>
          <w:vertAlign w:val="baseline"/>
        </w:rPr>
        <w:t>提供</w:t>
      </w:r>
      <w:r>
        <w:rPr>
          <w:rFonts w:hint="eastAsia" w:asciiTheme="minorEastAsia" w:hAnsiTheme="minorEastAsia" w:cstheme="minorEastAsia"/>
          <w:sz w:val="28"/>
          <w:szCs w:val="28"/>
          <w:vertAlign w:val="baseline"/>
          <w:lang w:val="en-US" w:eastAsia="zh-CN"/>
        </w:rPr>
        <w:t>系统开发服务。</w:t>
      </w:r>
    </w:p>
    <w:p w14:paraId="4C2558A0">
      <w:pPr>
        <w:numPr>
          <w:ilvl w:val="0"/>
          <w:numId w:val="0"/>
        </w:numPr>
        <w:spacing w:line="360" w:lineRule="auto"/>
        <w:ind w:firstLine="560" w:firstLineChars="200"/>
        <w:jc w:val="left"/>
        <w:rPr>
          <w:rFonts w:hint="eastAsia" w:asciiTheme="minorEastAsia" w:hAnsiTheme="minorEastAsia" w:eastAsiaTheme="minorEastAsia" w:cstheme="minorEastAsia"/>
          <w:sz w:val="28"/>
          <w:szCs w:val="28"/>
          <w:vertAlign w:val="baseline"/>
        </w:rPr>
      </w:pPr>
      <w:r>
        <w:rPr>
          <w:rFonts w:hint="eastAsia" w:asciiTheme="minorEastAsia" w:hAnsiTheme="minorEastAsia" w:eastAsiaTheme="minorEastAsia" w:cstheme="minorEastAsia"/>
          <w:sz w:val="28"/>
          <w:szCs w:val="28"/>
          <w:vertAlign w:val="baseline"/>
        </w:rPr>
        <w:t>2.提供 5*8 小时的专职驻场人员服务（驻场地点：</w:t>
      </w:r>
      <w:r>
        <w:rPr>
          <w:rFonts w:hint="eastAsia" w:asciiTheme="minorEastAsia" w:hAnsiTheme="minorEastAsia" w:cstheme="minorEastAsia"/>
          <w:sz w:val="28"/>
          <w:szCs w:val="28"/>
          <w:vertAlign w:val="baseline"/>
          <w:lang w:val="en-US" w:eastAsia="zh-CN"/>
        </w:rPr>
        <w:t>曲靖市财政局</w:t>
      </w:r>
      <w:r>
        <w:rPr>
          <w:rFonts w:hint="eastAsia" w:asciiTheme="minorEastAsia" w:hAnsiTheme="minorEastAsia" w:eastAsiaTheme="minorEastAsia" w:cstheme="minorEastAsia"/>
          <w:sz w:val="28"/>
          <w:szCs w:val="28"/>
          <w:vertAlign w:val="baseline"/>
        </w:rPr>
        <w:t>），包括现场问题处理、系统操作指导、热线接听等。</w:t>
      </w:r>
    </w:p>
    <w:p w14:paraId="62B68796">
      <w:pPr>
        <w:spacing w:line="360" w:lineRule="auto"/>
        <w:ind w:firstLine="560" w:firstLineChars="200"/>
        <w:jc w:val="left"/>
        <w:rPr>
          <w:rFonts w:hint="eastAsia" w:asciiTheme="minorEastAsia" w:hAnsiTheme="minorEastAsia" w:eastAsiaTheme="minorEastAsia" w:cstheme="minorEastAsia"/>
          <w:sz w:val="28"/>
          <w:szCs w:val="28"/>
          <w:vertAlign w:val="baseline"/>
        </w:rPr>
      </w:pPr>
      <w:r>
        <w:rPr>
          <w:rFonts w:hint="eastAsia" w:asciiTheme="minorEastAsia" w:hAnsiTheme="minorEastAsia" w:eastAsiaTheme="minorEastAsia" w:cstheme="minorEastAsia"/>
          <w:sz w:val="28"/>
          <w:szCs w:val="28"/>
          <w:vertAlign w:val="baseline"/>
        </w:rPr>
        <w:t>3.提供应用配置、站点创建、用户信息设置、配置初始化、采购目录初始化等系统初始化服务，以及部署方案、规则梳理、用户体系梳理、交易问题处理等运营管理服务。</w:t>
      </w:r>
    </w:p>
    <w:p w14:paraId="44A6A14C">
      <w:pPr>
        <w:spacing w:line="360" w:lineRule="auto"/>
        <w:ind w:firstLine="560" w:firstLineChars="200"/>
        <w:jc w:val="left"/>
        <w:rPr>
          <w:rFonts w:hint="eastAsia" w:asciiTheme="minorEastAsia" w:hAnsiTheme="minorEastAsia" w:eastAsiaTheme="minorEastAsia" w:cstheme="minorEastAsia"/>
          <w:sz w:val="28"/>
          <w:szCs w:val="28"/>
          <w:vertAlign w:val="baseline"/>
        </w:rPr>
      </w:pPr>
      <w:r>
        <w:rPr>
          <w:rFonts w:hint="eastAsia" w:asciiTheme="minorEastAsia" w:hAnsiTheme="minorEastAsia" w:eastAsiaTheme="minorEastAsia" w:cstheme="minorEastAsia"/>
          <w:sz w:val="28"/>
          <w:szCs w:val="28"/>
          <w:vertAlign w:val="baseline"/>
        </w:rPr>
        <w:t>4.提供 5*8 小时（指工作日，周一至周五，节假日除外）的客户热线/在线服务，解答用户在使用中的问题。</w:t>
      </w:r>
    </w:p>
    <w:p w14:paraId="62B5F9C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六、</w:t>
      </w:r>
      <w:r>
        <w:rPr>
          <w:rFonts w:hint="eastAsia" w:asciiTheme="minorEastAsia" w:hAnsiTheme="minorEastAsia" w:eastAsiaTheme="minorEastAsia" w:cstheme="minorEastAsia"/>
          <w:sz w:val="28"/>
          <w:szCs w:val="28"/>
        </w:rPr>
        <w:t>项目成果、考核及要求</w:t>
      </w:r>
    </w:p>
    <w:p w14:paraId="1054501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（一）项目成果</w:t>
      </w:r>
    </w:p>
    <w:p w14:paraId="0C2481B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乙方为甲方提供项目成果</w:t>
      </w:r>
      <w:r>
        <w:rPr>
          <w:rFonts w:hint="eastAsia" w:asciiTheme="minorEastAsia" w:hAnsiTheme="minorEastAsia" w:cstheme="minorEastAsia"/>
          <w:sz w:val="28"/>
          <w:szCs w:val="28"/>
          <w:lang w:val="en-US" w:eastAsia="zh-CN"/>
        </w:rPr>
        <w:t>曲靖市</w:t>
      </w:r>
      <w:r>
        <w:rPr>
          <w:rFonts w:hint="eastAsia" w:asciiTheme="minorEastAsia" w:hAnsiTheme="minorEastAsia" w:eastAsiaTheme="minorEastAsia" w:cstheme="minorEastAsia"/>
          <w:sz w:val="28"/>
          <w:szCs w:val="28"/>
        </w:rPr>
        <w:t>政府采购电子化交易系统其相关知识产权。</w:t>
      </w:r>
    </w:p>
    <w:p w14:paraId="73F65E7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（二）服务考核</w:t>
      </w:r>
    </w:p>
    <w:p w14:paraId="56F9EB5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服务期间，甲方根据系统运维保障、客服服务和培训情况，对乙方进行考核评价。</w:t>
      </w:r>
    </w:p>
    <w:p w14:paraId="2626D74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（三）其他要求</w:t>
      </w:r>
    </w:p>
    <w:p w14:paraId="46830D4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乙方未取得甲方书面许可，不得将项目（包括运维保障服务工作）转包或分包给其他第三方，如因擅自将项目（包括运维保障服务工作）转包或分包给其他第三方，甲方有权终止合同不支付剩余合同价款，乙方除应全额返还甲方已支付合同价款外还应赔偿由此给甲方造成的损失（包括但不限于甲方另行聘请第三方的费用、因项目延误或不能完成产生的其他一切费用等）。</w:t>
      </w:r>
    </w:p>
    <w:p w14:paraId="0241566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七</w:t>
      </w:r>
      <w:r>
        <w:rPr>
          <w:rFonts w:hint="eastAsia" w:asciiTheme="minorEastAsia" w:hAnsiTheme="minorEastAsia" w:eastAsiaTheme="minorEastAsia" w:cstheme="minorEastAsia"/>
          <w:sz w:val="28"/>
          <w:szCs w:val="28"/>
        </w:rPr>
        <w:t>、验收要求：</w:t>
      </w:r>
    </w:p>
    <w:p w14:paraId="3010FAE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1.项目验收申请：系统部署上线后，乙方向甲方提出项目验收申请。</w:t>
      </w:r>
    </w:p>
    <w:p w14:paraId="2E125B6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2.项目验收：甲方收到乙方书面项目验收申请后的 15 个工作日内，组织双方人员进行验收，验收通过后签署《采购项目验收报告表》。</w:t>
      </w:r>
    </w:p>
    <w:p w14:paraId="4427220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验收标准：甲方根据合同、招标文件、投标文件和甲方相关规定组织验收，在本期项目的开发过程中和交付使用后，要求乙方完成合同中所有的项目并将各个阶段产生的全面、规范的成果和文档资料交付给甲方，而且需要提供明确的交付清单。同时，成果和文档资料必须符合软件工程的相关要求。要交付的成果和文档资料需要包括以下部分：</w:t>
      </w:r>
    </w:p>
    <w:p w14:paraId="5273D72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1）可运行的完整系统</w:t>
      </w:r>
    </w:p>
    <w:p w14:paraId="64AC32C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2）技术文档</w:t>
      </w:r>
    </w:p>
    <w:p w14:paraId="6178DFB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包括项目开发中的各种技术文档，如开发环境配置说明、软件工具清单、需求分析说明、</w:t>
      </w:r>
    </w:p>
    <w:p w14:paraId="5B03286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变更说明、系统设计说明、用户手册、测试用例、测试结果、系统维护说明、系统培训资料以及有关系统接口的技术说明等。</w:t>
      </w:r>
    </w:p>
    <w:p w14:paraId="2D9B569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3）管理文档</w:t>
      </w:r>
    </w:p>
    <w:p w14:paraId="360D335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包括项目开发中的一些工作文档，如，计划、报告、讨论纲要、会议记录等。</w:t>
      </w:r>
    </w:p>
    <w:p w14:paraId="4FBBA5D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八</w:t>
      </w:r>
      <w:r>
        <w:rPr>
          <w:rFonts w:hint="eastAsia" w:asciiTheme="minorEastAsia" w:hAnsiTheme="minorEastAsia" w:eastAsiaTheme="minorEastAsia" w:cstheme="minorEastAsia"/>
          <w:sz w:val="28"/>
          <w:szCs w:val="28"/>
        </w:rPr>
        <w:t>、合同价款结算</w:t>
      </w:r>
    </w:p>
    <w:p w14:paraId="5E557C5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合同价款为人民币小写：￥</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rPr>
        <w:t>元，大写：</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rPr>
        <w:t>整。</w:t>
      </w:r>
      <w:r>
        <w:rPr>
          <w:rFonts w:hint="eastAsia" w:asciiTheme="minorEastAsia" w:hAnsiTheme="minorEastAsia" w:cstheme="minorEastAsia"/>
          <w:sz w:val="28"/>
          <w:szCs w:val="28"/>
          <w:lang w:val="en-US" w:eastAsia="zh-CN"/>
        </w:rPr>
        <w:t>于</w:t>
      </w:r>
      <w:r>
        <w:rPr>
          <w:rFonts w:hint="eastAsia" w:asciiTheme="minorEastAsia" w:hAnsiTheme="minorEastAsia" w:eastAsiaTheme="minorEastAsia" w:cstheme="minorEastAsia"/>
          <w:sz w:val="28"/>
          <w:szCs w:val="28"/>
        </w:rPr>
        <w:t>项目验收通过后 15 个工作日内甲方向乙方支付。</w:t>
      </w:r>
    </w:p>
    <w:p w14:paraId="0B26E2C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合同一切费用均使用人民币结算及支付。甲方向乙方付款，同时乙方应出具相应发票，甲乙双方对有关商业发票、结算票据一致认同，甲方取得发票不代表甲方款项已付清，款项已付清以甲方款项全部到达乙方开户账户为准。</w:t>
      </w:r>
    </w:p>
    <w:p w14:paraId="4052ECD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本合同项下款项支付至乙方指定的以下账户：</w:t>
      </w:r>
    </w:p>
    <w:p w14:paraId="77977DF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u w:val="single"/>
          <w:lang w:val="en-US" w:eastAsia="zh-CN"/>
        </w:rPr>
      </w:pPr>
      <w:r>
        <w:rPr>
          <w:rFonts w:hint="eastAsia" w:asciiTheme="minorEastAsia" w:hAnsiTheme="minorEastAsia" w:eastAsiaTheme="minorEastAsia" w:cstheme="minorEastAsia"/>
          <w:sz w:val="28"/>
          <w:szCs w:val="28"/>
        </w:rPr>
        <w:t>开户名称：</w:t>
      </w:r>
      <w:r>
        <w:rPr>
          <w:rFonts w:hint="eastAsia" w:asciiTheme="minorEastAsia" w:hAnsiTheme="minorEastAsia" w:eastAsiaTheme="minorEastAsia" w:cstheme="minorEastAsia"/>
          <w:sz w:val="28"/>
          <w:szCs w:val="28"/>
          <w:u w:val="single"/>
          <w:lang w:val="en-US" w:eastAsia="zh-CN"/>
        </w:rPr>
        <w:t xml:space="preserve">                                 </w:t>
      </w:r>
    </w:p>
    <w:p w14:paraId="0ACB392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开户银行：</w:t>
      </w:r>
      <w:r>
        <w:rPr>
          <w:rFonts w:hint="eastAsia" w:asciiTheme="minorEastAsia" w:hAnsiTheme="minorEastAsia" w:eastAsiaTheme="minorEastAsia" w:cstheme="minorEastAsia"/>
          <w:sz w:val="28"/>
          <w:szCs w:val="28"/>
          <w:u w:val="single"/>
          <w:lang w:val="en-US" w:eastAsia="zh-CN"/>
        </w:rPr>
        <w:t xml:space="preserve">                                 </w:t>
      </w:r>
    </w:p>
    <w:p w14:paraId="25FAE47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u w:val="single"/>
          <w:lang w:val="en-US" w:eastAsia="zh-CN"/>
        </w:rPr>
      </w:pPr>
      <w:r>
        <w:rPr>
          <w:rFonts w:hint="eastAsia" w:asciiTheme="minorEastAsia" w:hAnsiTheme="minorEastAsia" w:eastAsiaTheme="minorEastAsia" w:cstheme="minorEastAsia"/>
          <w:sz w:val="28"/>
          <w:szCs w:val="28"/>
        </w:rPr>
        <w:t xml:space="preserve">账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号：</w:t>
      </w:r>
      <w:r>
        <w:rPr>
          <w:rFonts w:hint="eastAsia" w:asciiTheme="minorEastAsia" w:hAnsiTheme="minorEastAsia" w:eastAsiaTheme="minorEastAsia" w:cstheme="minorEastAsia"/>
          <w:sz w:val="28"/>
          <w:szCs w:val="28"/>
          <w:u w:val="single"/>
          <w:lang w:val="en-US" w:eastAsia="zh-CN"/>
        </w:rPr>
        <w:t xml:space="preserve">                                 </w:t>
      </w:r>
    </w:p>
    <w:p w14:paraId="37DD78F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九</w:t>
      </w:r>
      <w:r>
        <w:rPr>
          <w:rFonts w:hint="eastAsia" w:asciiTheme="minorEastAsia" w:hAnsiTheme="minorEastAsia" w:eastAsiaTheme="minorEastAsia" w:cstheme="minorEastAsia"/>
          <w:sz w:val="28"/>
          <w:szCs w:val="28"/>
        </w:rPr>
        <w:t>、违约责任</w:t>
      </w:r>
    </w:p>
    <w:p w14:paraId="6FD030B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本合同的订立、生效与解释均适用中华人民共和国法律。本合同履行过程中甲乙双方任何一方违约，对方有权通知其在七日内予以更正，违约方应承担相应的违约责任，并承担因违约</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给对方造成的损失。因乙方违约导致甲方因诉讼、维权而产生的立案费、律师费、交通费、保全费等均由乙方负责。</w:t>
      </w:r>
    </w:p>
    <w:p w14:paraId="389CB11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（一）甲方的违约责任</w:t>
      </w:r>
    </w:p>
    <w:p w14:paraId="156C211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甲方未按合同规定时间付款，每延迟 30 个工作日，按延迟部分的 1%向乙方支付违约金，总的违约金不得超过合同价款的 5%。</w:t>
      </w:r>
    </w:p>
    <w:p w14:paraId="1A2D394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（二）乙方的违约责任</w:t>
      </w:r>
    </w:p>
    <w:p w14:paraId="48D3EB3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乙方不能按合同约定提供项目成果（包括知识产权）或服务质量达不到甲方要求或向甲方提供的产品（服务）侵犯第三方的专利权、商标权和其他相关权利，以及由于乙方原因造成本项目延误或发生其他使合同无法履行的行为，均视为乙方违约，甲方有权解除合同，乙方应向甲方支付合同价款 10%的违约金，并全额返还甲方已支付款项。</w:t>
      </w:r>
    </w:p>
    <w:p w14:paraId="0150453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乙方应保障系统的正常运行，若甲方或甲方有关部门在使用过程中发生故障，乙方应在 2</w:t>
      </w:r>
      <w:r>
        <w:rPr>
          <w:rFonts w:hint="eastAsia" w:asciiTheme="minorEastAsia" w:hAnsiTheme="minorEastAsia" w:eastAsiaTheme="minorEastAsia" w:cstheme="minorEastAsia"/>
          <w:sz w:val="28"/>
          <w:szCs w:val="28"/>
          <w:lang w:val="en-US" w:eastAsia="zh-CN"/>
        </w:rPr>
        <w:t>4</w:t>
      </w:r>
      <w:r>
        <w:rPr>
          <w:rFonts w:hint="eastAsia" w:asciiTheme="minorEastAsia" w:hAnsiTheme="minorEastAsia" w:eastAsiaTheme="minorEastAsia" w:cstheme="minorEastAsia"/>
          <w:sz w:val="28"/>
          <w:szCs w:val="28"/>
        </w:rPr>
        <w:t>小时内排除故障，否则每次扣除合同价款 1%。违反 5 次甲方有权解除合同，乙方应向甲方支付不超过 10 万元的违约金，并全额返还甲方已支付款项。乙方违反甲方有关工作规定的，乙方应负责赔偿相关损失，并向甲方支付不超过 10 万元的违约金。</w:t>
      </w:r>
    </w:p>
    <w:p w14:paraId="624456E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十</w:t>
      </w:r>
      <w:r>
        <w:rPr>
          <w:rFonts w:hint="eastAsia" w:asciiTheme="minorEastAsia" w:hAnsiTheme="minorEastAsia" w:eastAsiaTheme="minorEastAsia" w:cstheme="minorEastAsia"/>
          <w:sz w:val="28"/>
          <w:szCs w:val="28"/>
        </w:rPr>
        <w:t>、知识产权归属</w:t>
      </w:r>
    </w:p>
    <w:p w14:paraId="10715C9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1.对于开发建设的系统拥有独立知识产权，保证提供用于支持本项目运行的软硬件均为正版。</w:t>
      </w:r>
    </w:p>
    <w:p w14:paraId="6E2F6B3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在项目期间内，为实现系统功能而完成的文件及服务成果（包括但不限于阶段性、过程性成果等相关资料），其所有权终身归甲方所有。除公安机关、法院、检察院及其相关政府部门依法要求查阅外，任何部门和个人（包括本项目供应商）需要查阅的，应向甲方提出申请，经甲方同意后可以查询与其有关的材料（涉密数据除甲方外，任何人不得查阅）。</w:t>
      </w:r>
    </w:p>
    <w:p w14:paraId="162C7C3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系统产生的管理、交易数据产权归甲方所有。本项目在后续运行使用过程中，按程序重新选定系统供应商的，原系统供应商应当在撤离本项目前，向甲方移交所有系统数据，并且提供相应的系统工具，供甲方查询维护历史数据。</w:t>
      </w:r>
    </w:p>
    <w:p w14:paraId="58E876C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十一</w:t>
      </w:r>
      <w:r>
        <w:rPr>
          <w:rFonts w:hint="eastAsia" w:asciiTheme="minorEastAsia" w:hAnsiTheme="minorEastAsia" w:eastAsiaTheme="minorEastAsia" w:cstheme="minorEastAsia"/>
          <w:sz w:val="28"/>
          <w:szCs w:val="28"/>
        </w:rPr>
        <w:t>、不可抗力和免责条款</w:t>
      </w:r>
    </w:p>
    <w:p w14:paraId="360A507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由于战争、暴乱、自然灾害、政变、罢工、传染疾病、国家法律变化和政府行为等不能预见、不能避免并不能克服的客观情况影响本合同的履行时，遇有上述不可抗力的一方应立即以传真、电报等书面形式通知对方，并在 15 日之内提供不可抗力的详细情况及合同不能履行，或者部分不能履行，或者需要延期履行的理由和相关部门出具的证明文件。按不可抗力对履行合同影响的程度，由双方协商决定是否解除合同，或者部分免除履行合同的义务，或者延期履行合同。一方迟延履行本合同时发生不可抗力的，迟延方的合同义务不能免除。</w:t>
      </w:r>
    </w:p>
    <w:p w14:paraId="0E72F62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受到不可抗力影响的一方，应尽可能地及时采取合理的措施，减轻不可抗力对本合同的履行所造成的影响。没有采取适当措施致使损失扩大的，该方不得就扩大损失的部分要求免责或赔偿。</w:t>
      </w:r>
    </w:p>
    <w:p w14:paraId="2057644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如果因不可抗力影响本合同履行的，双方应对本合同的有关内容进行重新协商，进一步达成一个延期或终止执行本合同的协议。</w:t>
      </w:r>
    </w:p>
    <w:p w14:paraId="317A5CA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w:t>
      </w:r>
      <w:r>
        <w:rPr>
          <w:rFonts w:hint="eastAsia" w:asciiTheme="minorEastAsia" w:hAnsiTheme="minorEastAsia" w:cstheme="minorEastAsia"/>
          <w:sz w:val="28"/>
          <w:szCs w:val="28"/>
          <w:lang w:val="en-US" w:eastAsia="zh-CN"/>
        </w:rPr>
        <w:t>二</w:t>
      </w:r>
      <w:r>
        <w:rPr>
          <w:rFonts w:hint="eastAsia" w:asciiTheme="minorEastAsia" w:hAnsiTheme="minorEastAsia" w:eastAsiaTheme="minorEastAsia" w:cstheme="minorEastAsia"/>
          <w:sz w:val="28"/>
          <w:szCs w:val="28"/>
        </w:rPr>
        <w:t>、争议处理</w:t>
      </w:r>
    </w:p>
    <w:p w14:paraId="080EA16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甲乙双方应按照诚实守信的原则严格履行合同。在履行合同过程中发生纠纷，应及时向有关监督管理部门反映或投诉，以便相关部门进行协调或处理；或直接向甲方住所地有管辖权的人民法院提起诉讼。</w:t>
      </w:r>
    </w:p>
    <w:p w14:paraId="5B71ED1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十一、合同生效及其他</w:t>
      </w:r>
    </w:p>
    <w:p w14:paraId="55BAABE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1.本合同的所有附件为本合同不可分割的组成部分，与合同正文具有同等效力。双方签订的补充协议以及修改或变更的条款与本合同具有同等法律效力。若有不一致之处，以时间在后者为准。</w:t>
      </w:r>
    </w:p>
    <w:p w14:paraId="27090EF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2.如在合同期内甲方业务发生重大变化、系统发生重大功能性改变导致工作量过大等情况，乙方可向甲方提交新增工作量确认单，经甲方确认，由双方共同协商解决。</w:t>
      </w:r>
    </w:p>
    <w:p w14:paraId="1858BB0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3.本合同自</w:t>
      </w:r>
      <w:r>
        <w:rPr>
          <w:rFonts w:hint="eastAsia" w:asciiTheme="minorEastAsia" w:hAnsiTheme="minorEastAsia" w:eastAsiaTheme="minorEastAsia" w:cstheme="minorEastAsia"/>
          <w:sz w:val="28"/>
          <w:szCs w:val="28"/>
          <w:u w:val="single"/>
          <w:lang w:val="en-US" w:eastAsia="zh-CN"/>
        </w:rPr>
        <w:t>双</w:t>
      </w:r>
      <w:r>
        <w:rPr>
          <w:rFonts w:hint="eastAsia" w:asciiTheme="minorEastAsia" w:hAnsiTheme="minorEastAsia" w:eastAsiaTheme="minorEastAsia" w:cstheme="minorEastAsia"/>
          <w:sz w:val="28"/>
          <w:szCs w:val="28"/>
          <w:u w:val="single"/>
        </w:rPr>
        <w:t>方共同签订</w:t>
      </w:r>
      <w:r>
        <w:rPr>
          <w:rFonts w:hint="eastAsia" w:asciiTheme="minorEastAsia" w:hAnsiTheme="minorEastAsia" w:eastAsiaTheme="minorEastAsia" w:cstheme="minorEastAsia"/>
          <w:sz w:val="28"/>
          <w:szCs w:val="28"/>
        </w:rPr>
        <w:t>之日起生效。</w:t>
      </w:r>
    </w:p>
    <w:p w14:paraId="667ADF9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4.本合同不可分割之部分：招标文件、人的</w:t>
      </w:r>
      <w:r>
        <w:rPr>
          <w:rFonts w:hint="eastAsia" w:asciiTheme="minorEastAsia" w:hAnsiTheme="minorEastAsia" w:cstheme="minorEastAsia"/>
          <w:sz w:val="28"/>
          <w:szCs w:val="28"/>
          <w:lang w:val="en-US" w:eastAsia="zh-CN"/>
        </w:rPr>
        <w:t>响应</w:t>
      </w:r>
      <w:r>
        <w:rPr>
          <w:rFonts w:hint="eastAsia" w:asciiTheme="minorEastAsia" w:hAnsiTheme="minorEastAsia" w:eastAsiaTheme="minorEastAsia" w:cstheme="minorEastAsia"/>
          <w:sz w:val="28"/>
          <w:szCs w:val="28"/>
        </w:rPr>
        <w:t>文件、中标通知书、合同书附件。</w:t>
      </w:r>
    </w:p>
    <w:p w14:paraId="50F1CA7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pPr>
      <w:r>
        <w:rPr>
          <w:rFonts w:hint="eastAsia" w:asciiTheme="minorEastAsia" w:hAnsiTheme="minorEastAsia" w:eastAsiaTheme="minorEastAsia" w:cstheme="minorEastAsia"/>
          <w:sz w:val="28"/>
          <w:szCs w:val="28"/>
        </w:rPr>
        <w:t>5.本合同一式</w:t>
      </w:r>
      <w:r>
        <w:rPr>
          <w:rFonts w:hint="eastAsia" w:asciiTheme="minorEastAsia" w:hAnsiTheme="minorEastAsia" w:cstheme="minorEastAsia"/>
          <w:sz w:val="28"/>
          <w:szCs w:val="28"/>
          <w:lang w:val="en-US" w:eastAsia="zh-CN"/>
        </w:rPr>
        <w:t>六</w:t>
      </w:r>
      <w:r>
        <w:rPr>
          <w:rFonts w:hint="eastAsia" w:asciiTheme="minorEastAsia" w:hAnsiTheme="minorEastAsia" w:eastAsiaTheme="minorEastAsia" w:cstheme="minorEastAsia"/>
          <w:sz w:val="28"/>
          <w:szCs w:val="28"/>
        </w:rPr>
        <w:t>份，甲方三份，乙方三份（含用于结算支付的一份）。</w:t>
      </w:r>
    </w:p>
    <w:p w14:paraId="01689E02">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sz w:val="32"/>
          <w:szCs w:val="32"/>
          <w:lang w:val="en-US" w:eastAsia="zh-CN"/>
        </w:rPr>
      </w:pPr>
    </w:p>
    <w:p w14:paraId="198CFA7F">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sz w:val="32"/>
          <w:szCs w:val="32"/>
          <w:lang w:val="en-US" w:eastAsia="zh-CN"/>
        </w:rPr>
      </w:pPr>
    </w:p>
    <w:p w14:paraId="3694836A">
      <w:pPr>
        <w:pStyle w:val="98"/>
        <w:rPr>
          <w:rFonts w:hint="default"/>
          <w:sz w:val="32"/>
          <w:szCs w:val="32"/>
          <w:lang w:val="en-US" w:eastAsia="zh-CN"/>
        </w:rPr>
      </w:pPr>
    </w:p>
    <w:p w14:paraId="6379D26C">
      <w:pPr>
        <w:pStyle w:val="98"/>
        <w:rPr>
          <w:rFonts w:hint="default"/>
          <w:sz w:val="32"/>
          <w:szCs w:val="32"/>
          <w:lang w:val="en-US" w:eastAsia="zh-CN"/>
        </w:rPr>
      </w:pPr>
    </w:p>
    <w:p w14:paraId="516AF75F">
      <w:pPr>
        <w:rPr>
          <w:rFonts w:hint="default"/>
          <w:lang w:val="en-US" w:eastAsia="zh-CN"/>
        </w:rPr>
      </w:pPr>
    </w:p>
    <w:p w14:paraId="0CC542FD">
      <w:pPr>
        <w:pStyle w:val="21"/>
        <w:numPr>
          <w:ilvl w:val="0"/>
          <w:numId w:val="7"/>
        </w:numPr>
        <w:jc w:val="center"/>
        <w:outlineLvl w:val="0"/>
        <w:rPr>
          <w:rFonts w:hint="eastAsia" w:ascii="方正小标宋_GBK" w:hAnsi="方正小标宋_GBK" w:eastAsia="方正小标宋_GBK" w:cs="方正小标宋_GBK"/>
          <w:b w:val="0"/>
          <w:bCs/>
          <w:sz w:val="44"/>
          <w:szCs w:val="44"/>
        </w:rPr>
      </w:pPr>
      <w:bookmarkStart w:id="59" w:name="_Toc25077"/>
      <w:bookmarkStart w:id="60" w:name="_Toc8299"/>
      <w:r>
        <w:rPr>
          <w:rFonts w:hint="eastAsia" w:ascii="方正小标宋_GBK" w:hAnsi="方正小标宋_GBK" w:eastAsia="方正小标宋_GBK" w:cs="方正小标宋_GBK"/>
          <w:b w:val="0"/>
          <w:bCs/>
          <w:sz w:val="44"/>
          <w:szCs w:val="44"/>
        </w:rPr>
        <w:t xml:space="preserve">  响应文件格式</w:t>
      </w:r>
      <w:bookmarkEnd w:id="59"/>
      <w:bookmarkEnd w:id="60"/>
    </w:p>
    <w:p w14:paraId="2BB1BB29">
      <w:pPr>
        <w:numPr>
          <w:ilvl w:val="0"/>
          <w:numId w:val="0"/>
        </w:numPr>
        <w:rPr>
          <w:rFonts w:hint="eastAsia"/>
          <w:b w:val="0"/>
          <w:bCs/>
        </w:rPr>
      </w:pPr>
    </w:p>
    <w:p w14:paraId="0B118470">
      <w:pPr>
        <w:pStyle w:val="21"/>
        <w:keepNext w:val="0"/>
        <w:keepLines w:val="0"/>
        <w:pageBreakBefore w:val="0"/>
        <w:widowControl w:val="0"/>
        <w:kinsoku/>
        <w:wordWrap/>
        <w:overflowPunct/>
        <w:topLinePunct w:val="0"/>
        <w:autoSpaceDE/>
        <w:autoSpaceDN/>
        <w:bidi w:val="0"/>
        <w:adjustRightInd/>
        <w:snapToGrid/>
        <w:spacing w:line="600" w:lineRule="exact"/>
        <w:jc w:val="both"/>
        <w:textAlignment w:val="auto"/>
        <w:outlineLvl w:val="1"/>
        <w:rPr>
          <w:rFonts w:hint="eastAsia" w:ascii="方正仿宋_GBK" w:hAnsi="方正仿宋_GBK" w:eastAsia="方正仿宋_GBK" w:cs="方正仿宋_GBK"/>
          <w:b w:val="0"/>
          <w:bCs/>
          <w:sz w:val="32"/>
          <w:szCs w:val="32"/>
        </w:rPr>
      </w:pPr>
      <w:bookmarkStart w:id="61" w:name="_Toc6924"/>
      <w:bookmarkStart w:id="62" w:name="_Toc26226"/>
      <w:r>
        <w:rPr>
          <w:rFonts w:hint="eastAsia" w:ascii="方正黑体_GBK" w:hAnsi="方正黑体_GBK" w:eastAsia="方正黑体_GBK" w:cs="方正黑体_GBK"/>
          <w:b w:val="0"/>
          <w:bCs/>
          <w:sz w:val="32"/>
          <w:szCs w:val="32"/>
        </w:rPr>
        <w:t>一、响应说明</w:t>
      </w:r>
      <w:bookmarkEnd w:id="61"/>
      <w:bookmarkEnd w:id="62"/>
    </w:p>
    <w:p w14:paraId="403F6B8A">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u w:val="single"/>
          <w:lang w:val="en-US" w:eastAsia="zh-CN"/>
        </w:rPr>
      </w:pPr>
      <w:r>
        <w:rPr>
          <w:rFonts w:hint="eastAsia" w:ascii="方正仿宋_GBK" w:hAnsi="方正仿宋_GBK" w:eastAsia="方正仿宋_GBK" w:cs="方正仿宋_GBK"/>
          <w:b w:val="0"/>
          <w:bCs/>
          <w:sz w:val="32"/>
          <w:szCs w:val="32"/>
        </w:rPr>
        <w:t xml:space="preserve">   </w:t>
      </w:r>
      <w:r>
        <w:rPr>
          <w:rFonts w:hint="default" w:ascii="Times New Roman" w:hAnsi="Times New Roman" w:eastAsia="方正仿宋_GBK" w:cs="Times New Roman"/>
          <w:b w:val="0"/>
          <w:bCs/>
          <w:sz w:val="32"/>
          <w:szCs w:val="32"/>
        </w:rPr>
        <w:t xml:space="preserve">                             采购编号：</w:t>
      </w:r>
      <w:r>
        <w:rPr>
          <w:rFonts w:hint="default" w:ascii="Times New Roman" w:hAnsi="Times New Roman" w:eastAsia="方正仿宋_GBK" w:cs="Times New Roman"/>
          <w:b w:val="0"/>
          <w:bCs/>
          <w:sz w:val="32"/>
          <w:szCs w:val="32"/>
          <w:u w:val="single"/>
        </w:rPr>
        <w:t xml:space="preserve"> QJ</w:t>
      </w:r>
      <w:r>
        <w:rPr>
          <w:rFonts w:hint="eastAsia" w:ascii="Times New Roman" w:hAnsi="Times New Roman" w:eastAsia="方正仿宋_GBK" w:cs="Times New Roman"/>
          <w:b w:val="0"/>
          <w:bCs/>
          <w:sz w:val="32"/>
          <w:szCs w:val="32"/>
          <w:u w:val="single"/>
          <w:lang w:val="en-US" w:eastAsia="zh-CN"/>
        </w:rPr>
        <w:t>CZ</w:t>
      </w:r>
      <w:r>
        <w:rPr>
          <w:rFonts w:hint="default" w:ascii="Times New Roman" w:hAnsi="Times New Roman" w:eastAsia="方正仿宋_GBK" w:cs="Times New Roman"/>
          <w:b w:val="0"/>
          <w:bCs/>
          <w:sz w:val="32"/>
          <w:szCs w:val="32"/>
          <w:u w:val="single"/>
        </w:rPr>
        <w:t>-</w:t>
      </w:r>
      <w:r>
        <w:rPr>
          <w:rFonts w:hint="eastAsia" w:ascii="Times New Roman" w:hAnsi="Times New Roman" w:eastAsia="方正仿宋_GBK" w:cs="Times New Roman"/>
          <w:b w:val="0"/>
          <w:bCs/>
          <w:sz w:val="32"/>
          <w:szCs w:val="32"/>
          <w:u w:val="single"/>
          <w:lang w:val="en-US" w:eastAsia="zh-CN"/>
        </w:rPr>
        <w:t>JZX</w:t>
      </w:r>
      <w:r>
        <w:rPr>
          <w:rFonts w:hint="default" w:ascii="Times New Roman" w:hAnsi="Times New Roman" w:eastAsia="方正仿宋_GBK" w:cs="Times New Roman"/>
          <w:b w:val="0"/>
          <w:bCs/>
          <w:sz w:val="32"/>
          <w:szCs w:val="32"/>
          <w:u w:val="single"/>
        </w:rPr>
        <w:t>CS20</w:t>
      </w:r>
      <w:r>
        <w:rPr>
          <w:rFonts w:hint="default" w:ascii="Times New Roman" w:hAnsi="Times New Roman" w:eastAsia="方正仿宋_GBK" w:cs="Times New Roman"/>
          <w:b w:val="0"/>
          <w:bCs/>
          <w:sz w:val="32"/>
          <w:szCs w:val="32"/>
          <w:u w:val="single"/>
          <w:lang w:val="en-US" w:eastAsia="zh-CN"/>
        </w:rPr>
        <w:t>2301</w:t>
      </w:r>
    </w:p>
    <w:p w14:paraId="6C915033">
      <w:pPr>
        <w:pStyle w:val="21"/>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sz w:val="32"/>
          <w:szCs w:val="32"/>
        </w:rPr>
        <w:t>致曲靖市</w:t>
      </w:r>
      <w:r>
        <w:rPr>
          <w:rFonts w:hint="eastAsia" w:ascii="Times New Roman" w:hAnsi="Times New Roman" w:eastAsia="方正仿宋_GBK" w:cs="Times New Roman"/>
          <w:b w:val="0"/>
          <w:bCs/>
          <w:sz w:val="32"/>
          <w:szCs w:val="32"/>
          <w:lang w:val="en-US" w:eastAsia="zh-CN"/>
        </w:rPr>
        <w:t>财政局</w:t>
      </w:r>
      <w:r>
        <w:rPr>
          <w:rFonts w:hint="default" w:ascii="Times New Roman" w:hAnsi="Times New Roman" w:eastAsia="方正仿宋_GBK" w:cs="Times New Roman"/>
          <w:b w:val="0"/>
          <w:bCs/>
          <w:sz w:val="32"/>
          <w:szCs w:val="32"/>
        </w:rPr>
        <w:t>：</w:t>
      </w:r>
    </w:p>
    <w:p w14:paraId="685AA4C9">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在审阅了贵方竞争性文件,并同时在有关网站查阅相关补遗公告，我方下述签字人将按照《竞争性文件》的规定，参加。</w:t>
      </w:r>
    </w:p>
    <w:p w14:paraId="7053AA86">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现提交下述资料：</w:t>
      </w:r>
    </w:p>
    <w:p w14:paraId="13541DA0">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1、保证书；</w:t>
      </w:r>
    </w:p>
    <w:p w14:paraId="208D915B">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2、报价表；</w:t>
      </w:r>
    </w:p>
    <w:p w14:paraId="4C63C084">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、项目实施方案；</w:t>
      </w:r>
    </w:p>
    <w:p w14:paraId="334D2414">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4、中小企业声明函</w:t>
      </w:r>
    </w:p>
    <w:p w14:paraId="5E38AA56">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、供应商资格和资信证明文件；</w:t>
      </w:r>
    </w:p>
    <w:p w14:paraId="518E6B44">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val="en-US" w:eastAsia="zh-CN"/>
        </w:rPr>
        <w:t>6</w:t>
      </w:r>
      <w:r>
        <w:rPr>
          <w:rFonts w:hint="default" w:ascii="Times New Roman" w:hAnsi="Times New Roman" w:eastAsia="方正仿宋_GBK" w:cs="Times New Roman"/>
          <w:sz w:val="32"/>
          <w:szCs w:val="32"/>
        </w:rPr>
        <w:t>、项目售后服务承诺</w:t>
      </w:r>
      <w:r>
        <w:rPr>
          <w:rFonts w:hint="default" w:ascii="Times New Roman" w:hAnsi="Times New Roman" w:eastAsia="方正仿宋_GBK" w:cs="Times New Roman"/>
          <w:sz w:val="32"/>
          <w:szCs w:val="32"/>
          <w:lang w:eastAsia="zh-CN"/>
        </w:rPr>
        <w:t>；</w:t>
      </w:r>
    </w:p>
    <w:p w14:paraId="10A29CA4">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7、供应商资质和资信证明文件；</w:t>
      </w:r>
    </w:p>
    <w:p w14:paraId="6FBC833F">
      <w:pPr>
        <w:pStyle w:val="16"/>
        <w:keepNext w:val="0"/>
        <w:keepLines w:val="0"/>
        <w:pageBreakBefore w:val="0"/>
        <w:widowControl w:val="0"/>
        <w:kinsoku/>
        <w:wordWrap/>
        <w:overflowPunct/>
        <w:topLinePunct w:val="0"/>
        <w:autoSpaceDE/>
        <w:autoSpaceDN/>
        <w:bidi w:val="0"/>
        <w:adjustRightInd/>
        <w:snapToGrid/>
        <w:spacing w:after="0" w:line="600" w:lineRule="exact"/>
        <w:ind w:left="0" w:leftChars="0"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8、其他资料。</w:t>
      </w:r>
    </w:p>
    <w:p w14:paraId="62E2A5AE">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我方同意以下事项：</w:t>
      </w:r>
    </w:p>
    <w:p w14:paraId="39FA5580">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1、遵守文件的各项条款及一切有关规定；</w:t>
      </w:r>
    </w:p>
    <w:p w14:paraId="7D44C4A2">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2、如果我方成交，则至合同履行完为止，本响应说明保持有效。</w:t>
      </w:r>
    </w:p>
    <w:p w14:paraId="1E24E7A7">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公司全称：</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 xml:space="preserve">             </w:t>
      </w:r>
    </w:p>
    <w:p w14:paraId="4F28A6D3">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 xml:space="preserve">    详细地址：</w:t>
      </w:r>
      <w:r>
        <w:rPr>
          <w:rFonts w:hint="default" w:ascii="Times New Roman" w:hAnsi="Times New Roman" w:eastAsia="方正仿宋_GBK" w:cs="Times New Roman"/>
          <w:sz w:val="32"/>
          <w:szCs w:val="32"/>
          <w:u w:val="single"/>
        </w:rPr>
        <w:t xml:space="preserve">                                                                </w:t>
      </w:r>
    </w:p>
    <w:p w14:paraId="2F713F69">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 xml:space="preserve">    传    真：</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邮编：</w:t>
      </w:r>
      <w:r>
        <w:rPr>
          <w:rFonts w:hint="default" w:ascii="Times New Roman" w:hAnsi="Times New Roman" w:eastAsia="方正仿宋_GBK" w:cs="Times New Roman"/>
          <w:sz w:val="32"/>
          <w:szCs w:val="32"/>
          <w:u w:val="single"/>
        </w:rPr>
        <w:t xml:space="preserve">            </w:t>
      </w:r>
    </w:p>
    <w:p w14:paraId="424FDC84">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p>
    <w:p w14:paraId="43394A69">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法定代表人签名（签字/</w:t>
      </w:r>
      <w:r>
        <w:rPr>
          <w:rFonts w:hint="eastAsia" w:ascii="Times New Roman" w:hAnsi="Times New Roman" w:eastAsia="方正仿宋_GBK" w:cs="Times New Roman"/>
          <w:sz w:val="32"/>
          <w:szCs w:val="32"/>
          <w:lang w:val="en-US" w:eastAsia="zh-CN"/>
        </w:rPr>
        <w:t>盖章</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 xml:space="preserve">法定代表人电话：          </w:t>
      </w:r>
    </w:p>
    <w:p w14:paraId="2A01CF54">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p>
    <w:p w14:paraId="52C62C6C">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p>
    <w:p w14:paraId="240BF828">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委托代理人签名（签字/</w:t>
      </w:r>
      <w:r>
        <w:rPr>
          <w:rFonts w:hint="eastAsia" w:ascii="Times New Roman" w:hAnsi="Times New Roman" w:eastAsia="方正仿宋_GBK" w:cs="Times New Roman"/>
          <w:sz w:val="32"/>
          <w:szCs w:val="32"/>
          <w:lang w:val="en-US" w:eastAsia="zh-CN"/>
        </w:rPr>
        <w:t>盖章</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委托代理人电话：</w:t>
      </w:r>
    </w:p>
    <w:p w14:paraId="2936C307">
      <w:pPr>
        <w:pStyle w:val="21"/>
        <w:keepNext w:val="0"/>
        <w:keepLines w:val="0"/>
        <w:pageBreakBefore w:val="0"/>
        <w:widowControl w:val="0"/>
        <w:tabs>
          <w:tab w:val="left" w:pos="2139"/>
        </w:tabs>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b/>
      </w:r>
    </w:p>
    <w:p w14:paraId="32BB740A">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投标人(公章)：</w:t>
      </w:r>
    </w:p>
    <w:p w14:paraId="75389195">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p>
    <w:p w14:paraId="39D17462">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sz w:val="32"/>
          <w:szCs w:val="32"/>
          <w:lang w:eastAsia="zh-CN"/>
        </w:rPr>
        <w:sectPr>
          <w:pgSz w:w="11907" w:h="16840"/>
          <w:pgMar w:top="720" w:right="720" w:bottom="720" w:left="720" w:header="1021" w:footer="567" w:gutter="0"/>
          <w:cols w:space="720" w:num="1"/>
          <w:titlePg/>
          <w:docGrid w:type="linesAndChars" w:linePitch="318" w:charSpace="0"/>
        </w:sectPr>
      </w:pPr>
      <w:r>
        <w:rPr>
          <w:rFonts w:hint="default" w:ascii="Times New Roman" w:hAnsi="Times New Roman" w:eastAsia="方正仿宋_GBK" w:cs="Times New Roman"/>
          <w:sz w:val="32"/>
          <w:szCs w:val="32"/>
        </w:rPr>
        <w:t xml:space="preserve">年      月     </w:t>
      </w:r>
      <w:r>
        <w:rPr>
          <w:rFonts w:hint="default" w:ascii="Times New Roman" w:hAnsi="Times New Roman" w:eastAsia="方正仿宋_GBK" w:cs="Times New Roman"/>
          <w:sz w:val="32"/>
          <w:szCs w:val="32"/>
          <w:lang w:eastAsia="zh-CN"/>
        </w:rPr>
        <w:t>日</w:t>
      </w:r>
    </w:p>
    <w:p w14:paraId="309FB992">
      <w:pPr>
        <w:pStyle w:val="21"/>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b w:val="0"/>
          <w:bCs/>
          <w:lang w:val="en-US" w:eastAsia="zh-CN"/>
        </w:rPr>
      </w:pPr>
      <w:r>
        <w:rPr>
          <w:rFonts w:hint="eastAsia" w:ascii="方正黑体_GBK" w:hAnsi="方正黑体_GBK" w:eastAsia="方正黑体_GBK" w:cs="方正黑体_GBK"/>
          <w:b w:val="0"/>
          <w:bCs/>
          <w:kern w:val="0"/>
          <w:sz w:val="32"/>
          <w:szCs w:val="32"/>
          <w:lang w:val="en-US" w:eastAsia="zh-CN"/>
        </w:rPr>
        <w:t>二、报价表</w:t>
      </w:r>
    </w:p>
    <w:p w14:paraId="7FC08D46">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Theme="minorEastAsia" w:hAnsiTheme="minorEastAsia" w:cstheme="minorEastAsia"/>
          <w:sz w:val="30"/>
          <w:szCs w:val="30"/>
          <w:lang w:val="en-US" w:eastAsia="zh-CN"/>
        </w:rPr>
      </w:pPr>
      <w:r>
        <w:rPr>
          <w:rFonts w:hint="eastAsia" w:asciiTheme="minorEastAsia" w:hAnsiTheme="minorEastAsia" w:cstheme="minorEastAsia"/>
          <w:sz w:val="30"/>
          <w:szCs w:val="30"/>
          <w:lang w:val="en-US" w:eastAsia="zh-CN"/>
        </w:rPr>
        <w:t>项目名称：</w:t>
      </w:r>
    </w:p>
    <w:p w14:paraId="540F2CED">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Theme="minorEastAsia" w:hAnsiTheme="minorEastAsia" w:cstheme="minorEastAsia"/>
          <w:sz w:val="30"/>
          <w:szCs w:val="30"/>
          <w:lang w:val="en-US" w:eastAsia="zh-CN"/>
        </w:rPr>
      </w:pPr>
      <w:r>
        <w:rPr>
          <w:rFonts w:hint="eastAsia" w:asciiTheme="minorEastAsia" w:hAnsiTheme="minorEastAsia" w:cstheme="minorEastAsia"/>
          <w:sz w:val="30"/>
          <w:szCs w:val="30"/>
          <w:lang w:val="en-US" w:eastAsia="zh-CN"/>
        </w:rPr>
        <w:t>项目编号：</w:t>
      </w:r>
    </w:p>
    <w:tbl>
      <w:tblPr>
        <w:tblStyle w:val="38"/>
        <w:tblW w:w="85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9"/>
        <w:gridCol w:w="6545"/>
      </w:tblGrid>
      <w:tr w14:paraId="1471A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2039" w:type="dxa"/>
            <w:vAlign w:val="center"/>
          </w:tcPr>
          <w:p w14:paraId="5D8BB5D6">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heme="minorEastAsia" w:hAnsiTheme="minorEastAsia" w:cstheme="minorEastAsia"/>
                <w:sz w:val="28"/>
                <w:szCs w:val="28"/>
                <w:vertAlign w:val="baseline"/>
                <w:lang w:val="en-US" w:eastAsia="zh-CN"/>
              </w:rPr>
            </w:pPr>
            <w:r>
              <w:rPr>
                <w:rFonts w:hint="eastAsia" w:asciiTheme="minorEastAsia" w:hAnsiTheme="minorEastAsia" w:cstheme="minorEastAsia"/>
                <w:sz w:val="28"/>
                <w:szCs w:val="28"/>
                <w:vertAlign w:val="baseline"/>
                <w:lang w:val="en-US" w:eastAsia="zh-CN"/>
              </w:rPr>
              <w:t>投标人名称</w:t>
            </w:r>
          </w:p>
        </w:tc>
        <w:tc>
          <w:tcPr>
            <w:tcW w:w="6545" w:type="dxa"/>
            <w:vAlign w:val="center"/>
          </w:tcPr>
          <w:p w14:paraId="1351529B">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heme="minorEastAsia" w:hAnsiTheme="minorEastAsia" w:cstheme="minorEastAsia"/>
                <w:sz w:val="28"/>
                <w:szCs w:val="28"/>
                <w:vertAlign w:val="baseline"/>
                <w:lang w:val="en-US" w:eastAsia="zh-CN"/>
              </w:rPr>
            </w:pPr>
          </w:p>
        </w:tc>
      </w:tr>
      <w:tr w14:paraId="79B0D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trPr>
        <w:tc>
          <w:tcPr>
            <w:tcW w:w="2039" w:type="dxa"/>
            <w:vAlign w:val="center"/>
          </w:tcPr>
          <w:p w14:paraId="6700FDD9">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heme="minorEastAsia" w:hAnsiTheme="minorEastAsia" w:cstheme="minorEastAsia"/>
                <w:sz w:val="28"/>
                <w:szCs w:val="28"/>
                <w:vertAlign w:val="baseline"/>
                <w:lang w:val="en-US" w:eastAsia="zh-CN"/>
              </w:rPr>
            </w:pPr>
            <w:r>
              <w:rPr>
                <w:rFonts w:hint="eastAsia" w:asciiTheme="minorEastAsia" w:hAnsiTheme="minorEastAsia" w:cstheme="minorEastAsia"/>
                <w:sz w:val="28"/>
                <w:szCs w:val="28"/>
                <w:vertAlign w:val="baseline"/>
                <w:lang w:val="en-US" w:eastAsia="zh-CN"/>
              </w:rPr>
              <w:t>报价合计（元）</w:t>
            </w:r>
          </w:p>
        </w:tc>
        <w:tc>
          <w:tcPr>
            <w:tcW w:w="6545" w:type="dxa"/>
            <w:vAlign w:val="center"/>
          </w:tcPr>
          <w:p w14:paraId="7530DC5B">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Theme="minorEastAsia" w:hAnsiTheme="minorEastAsia" w:cstheme="minorEastAsia"/>
                <w:sz w:val="28"/>
                <w:szCs w:val="28"/>
                <w:vertAlign w:val="baseline"/>
                <w:lang w:val="en-US" w:eastAsia="zh-CN"/>
              </w:rPr>
            </w:pPr>
            <w:r>
              <w:rPr>
                <w:rFonts w:hint="eastAsia" w:asciiTheme="minorEastAsia" w:hAnsiTheme="minorEastAsia" w:cstheme="minorEastAsia"/>
                <w:sz w:val="28"/>
                <w:szCs w:val="28"/>
                <w:vertAlign w:val="baseline"/>
                <w:lang w:val="en-US" w:eastAsia="zh-CN"/>
              </w:rPr>
              <w:t>小写：</w:t>
            </w:r>
          </w:p>
          <w:p w14:paraId="59688B97">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Theme="minorEastAsia" w:hAnsiTheme="minorEastAsia" w:cstheme="minorEastAsia"/>
                <w:sz w:val="28"/>
                <w:szCs w:val="28"/>
                <w:vertAlign w:val="baseline"/>
                <w:lang w:val="en-US" w:eastAsia="zh-CN"/>
              </w:rPr>
            </w:pPr>
            <w:r>
              <w:rPr>
                <w:rFonts w:hint="eastAsia" w:asciiTheme="minorEastAsia" w:hAnsiTheme="minorEastAsia" w:cstheme="minorEastAsia"/>
                <w:sz w:val="28"/>
                <w:szCs w:val="28"/>
                <w:vertAlign w:val="baseline"/>
                <w:lang w:val="en-US" w:eastAsia="zh-CN"/>
              </w:rPr>
              <w:t>大写：</w:t>
            </w:r>
          </w:p>
        </w:tc>
      </w:tr>
      <w:tr w14:paraId="42EE7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039" w:type="dxa"/>
            <w:vAlign w:val="center"/>
          </w:tcPr>
          <w:p w14:paraId="06F6ECF1">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heme="minorEastAsia" w:hAnsiTheme="minorEastAsia" w:cstheme="minorEastAsia"/>
                <w:sz w:val="28"/>
                <w:szCs w:val="28"/>
                <w:vertAlign w:val="baseline"/>
                <w:lang w:val="en-US" w:eastAsia="zh-CN"/>
              </w:rPr>
            </w:pPr>
            <w:r>
              <w:rPr>
                <w:rFonts w:hint="eastAsia" w:asciiTheme="minorEastAsia" w:hAnsiTheme="minorEastAsia" w:cstheme="minorEastAsia"/>
                <w:sz w:val="28"/>
                <w:szCs w:val="28"/>
                <w:vertAlign w:val="baseline"/>
                <w:lang w:val="en-US" w:eastAsia="zh-CN"/>
              </w:rPr>
              <w:t>合同履行期限</w:t>
            </w:r>
          </w:p>
        </w:tc>
        <w:tc>
          <w:tcPr>
            <w:tcW w:w="6545" w:type="dxa"/>
            <w:vAlign w:val="center"/>
          </w:tcPr>
          <w:p w14:paraId="4DA0EE56">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heme="minorEastAsia" w:hAnsiTheme="minorEastAsia" w:cstheme="minorEastAsia"/>
                <w:sz w:val="28"/>
                <w:szCs w:val="28"/>
                <w:vertAlign w:val="baseline"/>
                <w:lang w:val="en-US" w:eastAsia="zh-CN"/>
              </w:rPr>
            </w:pPr>
          </w:p>
        </w:tc>
      </w:tr>
      <w:tr w14:paraId="2AA1D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039" w:type="dxa"/>
            <w:vAlign w:val="center"/>
          </w:tcPr>
          <w:p w14:paraId="42C75A9F">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heme="minorEastAsia" w:hAnsiTheme="minorEastAsia" w:cstheme="minorEastAsia"/>
                <w:sz w:val="28"/>
                <w:szCs w:val="28"/>
                <w:vertAlign w:val="baseline"/>
                <w:lang w:val="en-US" w:eastAsia="zh-CN"/>
              </w:rPr>
            </w:pPr>
            <w:r>
              <w:rPr>
                <w:rFonts w:hint="eastAsia" w:asciiTheme="minorEastAsia" w:hAnsiTheme="minorEastAsia" w:cstheme="minorEastAsia"/>
                <w:sz w:val="28"/>
                <w:szCs w:val="28"/>
                <w:vertAlign w:val="baseline"/>
                <w:lang w:val="en-US" w:eastAsia="zh-CN"/>
              </w:rPr>
              <w:t>项目实施地点</w:t>
            </w:r>
          </w:p>
        </w:tc>
        <w:tc>
          <w:tcPr>
            <w:tcW w:w="6545" w:type="dxa"/>
            <w:vAlign w:val="center"/>
          </w:tcPr>
          <w:p w14:paraId="2CC4CC7F">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heme="minorEastAsia" w:hAnsiTheme="minorEastAsia" w:cstheme="minorEastAsia"/>
                <w:sz w:val="28"/>
                <w:szCs w:val="28"/>
                <w:vertAlign w:val="baseline"/>
                <w:lang w:val="en-US" w:eastAsia="zh-CN"/>
              </w:rPr>
            </w:pPr>
          </w:p>
        </w:tc>
      </w:tr>
      <w:tr w14:paraId="077D8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8584" w:type="dxa"/>
            <w:gridSpan w:val="2"/>
            <w:vAlign w:val="center"/>
          </w:tcPr>
          <w:p w14:paraId="011CB6C5">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heme="minorEastAsia" w:hAnsiTheme="minorEastAsia" w:cstheme="minorEastAsia"/>
                <w:sz w:val="28"/>
                <w:szCs w:val="28"/>
                <w:vertAlign w:val="baseline"/>
                <w:lang w:val="en-US" w:eastAsia="zh-CN"/>
              </w:rPr>
            </w:pPr>
            <w:r>
              <w:rPr>
                <w:rFonts w:hint="eastAsia" w:asciiTheme="minorEastAsia" w:hAnsiTheme="minorEastAsia" w:cstheme="minorEastAsia"/>
                <w:sz w:val="28"/>
                <w:szCs w:val="28"/>
                <w:vertAlign w:val="baseline"/>
                <w:lang w:val="en-US" w:eastAsia="zh-CN"/>
              </w:rPr>
              <w:t>备注</w:t>
            </w:r>
          </w:p>
        </w:tc>
      </w:tr>
    </w:tbl>
    <w:p w14:paraId="32D477FE">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Theme="minorEastAsia" w:hAnsiTheme="minorEastAsia" w:cstheme="minorEastAsia"/>
          <w:sz w:val="30"/>
          <w:szCs w:val="30"/>
          <w:lang w:val="en-US" w:eastAsia="zh-CN"/>
        </w:rPr>
      </w:pPr>
      <w:r>
        <w:rPr>
          <w:rFonts w:hint="eastAsia" w:asciiTheme="minorEastAsia" w:hAnsiTheme="minorEastAsia" w:cstheme="minorEastAsia"/>
          <w:sz w:val="30"/>
          <w:szCs w:val="30"/>
          <w:lang w:val="en-US" w:eastAsia="zh-CN"/>
        </w:rPr>
        <w:t>投标人（加盖投标人公章）：</w:t>
      </w:r>
    </w:p>
    <w:p w14:paraId="18C50A8A">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Theme="minorEastAsia" w:hAnsiTheme="minorEastAsia" w:cstheme="minorEastAsia"/>
          <w:sz w:val="30"/>
          <w:szCs w:val="30"/>
          <w:lang w:val="en-US" w:eastAsia="zh-CN"/>
        </w:rPr>
      </w:pPr>
    </w:p>
    <w:p w14:paraId="78E6154A">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heme="minorEastAsia" w:hAnsiTheme="minorEastAsia" w:cstheme="minorEastAsia"/>
          <w:sz w:val="30"/>
          <w:szCs w:val="30"/>
          <w:lang w:val="en-US" w:eastAsia="zh-CN"/>
        </w:rPr>
      </w:pPr>
      <w:r>
        <w:rPr>
          <w:rFonts w:hint="eastAsia" w:asciiTheme="minorEastAsia" w:hAnsiTheme="minorEastAsia" w:cstheme="minorEastAsia"/>
          <w:sz w:val="30"/>
          <w:szCs w:val="30"/>
          <w:lang w:val="en-US" w:eastAsia="zh-CN"/>
        </w:rPr>
        <w:t>法定代表人或者委托代理人（签字或盖章）：</w:t>
      </w:r>
    </w:p>
    <w:p w14:paraId="1B50C70C">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Theme="minorEastAsia" w:hAnsiTheme="minorEastAsia" w:cstheme="minorEastAsia"/>
          <w:sz w:val="30"/>
          <w:szCs w:val="30"/>
          <w:lang w:val="en-US" w:eastAsia="zh-CN"/>
        </w:rPr>
      </w:pPr>
    </w:p>
    <w:p w14:paraId="5E4C14FE">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sz w:val="32"/>
          <w:szCs w:val="32"/>
          <w:lang w:val="en-US" w:eastAsia="zh-CN"/>
        </w:rPr>
      </w:pPr>
      <w:r>
        <w:rPr>
          <w:rFonts w:hint="eastAsia" w:asciiTheme="minorEastAsia" w:hAnsiTheme="minorEastAsia" w:cstheme="minorEastAsia"/>
          <w:sz w:val="30"/>
          <w:szCs w:val="30"/>
          <w:lang w:val="en-US" w:eastAsia="zh-CN"/>
        </w:rPr>
        <w:t>日期：   年  月  日</w:t>
      </w:r>
    </w:p>
    <w:p w14:paraId="5023DB71">
      <w:pPr>
        <w:keepNext w:val="0"/>
        <w:keepLines w:val="0"/>
        <w:pageBreakBefore w:val="0"/>
        <w:widowControl w:val="0"/>
        <w:kinsoku/>
        <w:wordWrap/>
        <w:overflowPunct/>
        <w:topLinePunct w:val="0"/>
        <w:autoSpaceDE/>
        <w:autoSpaceDN/>
        <w:bidi w:val="0"/>
        <w:adjustRightInd/>
        <w:snapToGrid/>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注：1、首年免运维费；</w:t>
      </w:r>
    </w:p>
    <w:p w14:paraId="74BDF6D6">
      <w:pPr>
        <w:keepNext w:val="0"/>
        <w:keepLines w:val="0"/>
        <w:pageBreakBefore w:val="0"/>
        <w:widowControl w:val="0"/>
        <w:numPr>
          <w:ilvl w:val="0"/>
          <w:numId w:val="8"/>
        </w:numPr>
        <w:kinsoku/>
        <w:wordWrap/>
        <w:overflowPunct/>
        <w:topLinePunct w:val="0"/>
        <w:autoSpaceDE/>
        <w:autoSpaceDN/>
        <w:bidi w:val="0"/>
        <w:adjustRightInd/>
        <w:snapToGrid/>
        <w:ind w:left="-10" w:leftChars="0" w:firstLine="640" w:firstLineChars="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第二、第三年的运维费填写在备注栏中，且运维费不得高于项目建设费，否则，报价无效。</w:t>
      </w:r>
    </w:p>
    <w:p w14:paraId="2DE75586">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黑体" w:hAnsi="黑体" w:eastAsia="黑体" w:cs="黑体"/>
          <w:sz w:val="32"/>
          <w:szCs w:val="32"/>
          <w:lang w:val="en-US" w:eastAsia="zh-CN"/>
        </w:rPr>
      </w:pPr>
    </w:p>
    <w:p w14:paraId="41C40076">
      <w:pPr>
        <w:pStyle w:val="2"/>
        <w:rPr>
          <w:rFonts w:hint="eastAsia"/>
          <w:lang w:val="en-US" w:eastAsia="zh-CN"/>
        </w:rPr>
      </w:pPr>
    </w:p>
    <w:p w14:paraId="1AED0277">
      <w:pPr>
        <w:pStyle w:val="2"/>
        <w:rPr>
          <w:rFonts w:hint="eastAsia"/>
          <w:lang w:val="en-US" w:eastAsia="zh-CN"/>
        </w:rPr>
      </w:pPr>
    </w:p>
    <w:p w14:paraId="795F95D3">
      <w:pPr>
        <w:pStyle w:val="2"/>
        <w:rPr>
          <w:rFonts w:hint="eastAsia"/>
          <w:lang w:val="en-US" w:eastAsia="zh-CN"/>
        </w:rPr>
      </w:pPr>
    </w:p>
    <w:p w14:paraId="3A686234">
      <w:pPr>
        <w:pStyle w:val="2"/>
        <w:rPr>
          <w:rFonts w:hint="eastAsia"/>
          <w:lang w:val="en-US" w:eastAsia="zh-CN"/>
        </w:rPr>
      </w:pPr>
    </w:p>
    <w:p w14:paraId="7D87306B">
      <w:pPr>
        <w:pStyle w:val="21"/>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outlineLvl w:val="1"/>
        <w:rPr>
          <w:rFonts w:hint="eastAsia" w:ascii="方正黑体_GBK" w:hAnsi="方正黑体_GBK" w:eastAsia="方正黑体_GBK" w:cs="方正黑体_GBK"/>
          <w:b w:val="0"/>
          <w:bCs/>
          <w:sz w:val="32"/>
          <w:szCs w:val="32"/>
        </w:rPr>
      </w:pPr>
      <w:bookmarkStart w:id="63" w:name="_Toc26863"/>
      <w:r>
        <w:rPr>
          <w:rFonts w:hint="eastAsia" w:ascii="方正黑体_GBK" w:hAnsi="方正黑体_GBK" w:eastAsia="方正黑体_GBK" w:cs="方正黑体_GBK"/>
          <w:b w:val="0"/>
          <w:bCs/>
          <w:kern w:val="0"/>
          <w:sz w:val="32"/>
          <w:szCs w:val="32"/>
          <w:lang w:eastAsia="zh-CN"/>
        </w:rPr>
        <w:t>三、</w:t>
      </w:r>
      <w:r>
        <w:rPr>
          <w:rFonts w:hint="eastAsia" w:ascii="方正黑体_GBK" w:hAnsi="方正黑体_GBK" w:eastAsia="方正黑体_GBK" w:cs="方正黑体_GBK"/>
          <w:b w:val="0"/>
          <w:bCs/>
          <w:kern w:val="0"/>
          <w:sz w:val="32"/>
          <w:szCs w:val="32"/>
        </w:rPr>
        <w:t>项目实施方案</w:t>
      </w:r>
      <w:bookmarkEnd w:id="63"/>
    </w:p>
    <w:p w14:paraId="01AA4FD5">
      <w:pPr>
        <w:pStyle w:val="21"/>
        <w:keepNext w:val="0"/>
        <w:keepLines w:val="0"/>
        <w:pageBreakBefore w:val="0"/>
        <w:widowControl w:val="0"/>
        <w:kinsoku/>
        <w:wordWrap/>
        <w:overflowPunct/>
        <w:topLinePunct w:val="0"/>
        <w:autoSpaceDE/>
        <w:autoSpaceDN/>
        <w:bidi w:val="0"/>
        <w:adjustRightInd/>
        <w:snapToGrid/>
        <w:spacing w:line="600" w:lineRule="exact"/>
        <w:textAlignment w:val="auto"/>
        <w:outlineLvl w:val="1"/>
        <w:rPr>
          <w:rFonts w:hint="eastAsia" w:ascii="方正黑体_GBK" w:hAnsi="方正黑体_GBK" w:eastAsia="方正黑体_GBK" w:cs="方正黑体_GBK"/>
          <w:b w:val="0"/>
          <w:bCs/>
          <w:kern w:val="0"/>
          <w:sz w:val="32"/>
          <w:szCs w:val="32"/>
        </w:rPr>
      </w:pPr>
      <w:bookmarkStart w:id="64" w:name="_Toc29742"/>
      <w:bookmarkStart w:id="65" w:name="_Toc26698"/>
      <w:r>
        <w:rPr>
          <w:rFonts w:hint="eastAsia" w:ascii="方正黑体_GBK" w:hAnsi="方正黑体_GBK" w:eastAsia="方正黑体_GBK" w:cs="方正黑体_GBK"/>
          <w:b w:val="0"/>
          <w:bCs/>
          <w:kern w:val="0"/>
          <w:sz w:val="32"/>
          <w:szCs w:val="32"/>
          <w:lang w:val="en-US" w:eastAsia="zh-CN"/>
        </w:rPr>
        <w:t>四、中小</w:t>
      </w:r>
      <w:r>
        <w:rPr>
          <w:rFonts w:hint="eastAsia" w:ascii="方正黑体_GBK" w:hAnsi="方正黑体_GBK" w:eastAsia="方正黑体_GBK" w:cs="方正黑体_GBK"/>
          <w:b w:val="0"/>
          <w:bCs/>
          <w:kern w:val="0"/>
          <w:sz w:val="32"/>
          <w:szCs w:val="32"/>
        </w:rPr>
        <w:t>企业声明函</w:t>
      </w:r>
      <w:bookmarkEnd w:id="64"/>
      <w:bookmarkEnd w:id="65"/>
    </w:p>
    <w:p w14:paraId="7CDC5D12">
      <w:pPr>
        <w:pStyle w:val="21"/>
        <w:keepNext w:val="0"/>
        <w:keepLines w:val="0"/>
        <w:pageBreakBefore w:val="0"/>
        <w:widowControl w:val="0"/>
        <w:kinsoku/>
        <w:wordWrap/>
        <w:overflowPunct/>
        <w:topLinePunct w:val="0"/>
        <w:autoSpaceDE/>
        <w:autoSpaceDN/>
        <w:bidi w:val="0"/>
        <w:adjustRightInd/>
        <w:snapToGrid/>
        <w:spacing w:line="600" w:lineRule="exact"/>
        <w:textAlignment w:val="auto"/>
        <w:outlineLvl w:val="1"/>
        <w:rPr>
          <w:rFonts w:hint="eastAsia" w:ascii="宋体" w:hAnsi="宋体" w:cs="宋体"/>
          <w:sz w:val="24"/>
          <w:szCs w:val="24"/>
          <w:lang w:val="en-US" w:eastAsia="zh-CN"/>
        </w:rPr>
      </w:pPr>
      <w:bookmarkStart w:id="66" w:name="_Toc6155"/>
      <w:bookmarkStart w:id="67" w:name="_Toc23182"/>
      <w:r>
        <w:rPr>
          <w:rFonts w:hint="eastAsia" w:ascii="方正黑体_GBK" w:hAnsi="方正黑体_GBK" w:eastAsia="方正黑体_GBK" w:cs="方正黑体_GBK"/>
          <w:b w:val="0"/>
          <w:bCs/>
          <w:kern w:val="0"/>
          <w:sz w:val="32"/>
          <w:szCs w:val="32"/>
          <w:lang w:val="en-US" w:eastAsia="zh-CN"/>
        </w:rPr>
        <w:t>五</w:t>
      </w:r>
      <w:r>
        <w:rPr>
          <w:rFonts w:hint="eastAsia" w:ascii="方正黑体_GBK" w:hAnsi="方正黑体_GBK" w:eastAsia="方正黑体_GBK" w:cs="方正黑体_GBK"/>
          <w:b w:val="0"/>
          <w:bCs/>
          <w:kern w:val="0"/>
          <w:sz w:val="32"/>
          <w:szCs w:val="32"/>
        </w:rPr>
        <w:t>、</w:t>
      </w:r>
      <w:r>
        <w:rPr>
          <w:rFonts w:hint="eastAsia" w:ascii="方正黑体_GBK" w:hAnsi="方正黑体_GBK" w:eastAsia="方正黑体_GBK" w:cs="方正黑体_GBK"/>
          <w:b w:val="0"/>
          <w:bCs/>
          <w:sz w:val="32"/>
          <w:szCs w:val="32"/>
        </w:rPr>
        <w:t>证明服务的合格性和符合文件规定的文件</w:t>
      </w:r>
      <w:bookmarkEnd w:id="66"/>
      <w:bookmarkEnd w:id="67"/>
    </w:p>
    <w:p w14:paraId="3988282B">
      <w:pPr>
        <w:pStyle w:val="21"/>
        <w:keepNext w:val="0"/>
        <w:keepLines w:val="0"/>
        <w:pageBreakBefore w:val="0"/>
        <w:widowControl w:val="0"/>
        <w:kinsoku/>
        <w:wordWrap/>
        <w:overflowPunct/>
        <w:topLinePunct w:val="0"/>
        <w:autoSpaceDE/>
        <w:autoSpaceDN/>
        <w:bidi w:val="0"/>
        <w:adjustRightInd/>
        <w:snapToGrid/>
        <w:spacing w:line="600" w:lineRule="exact"/>
        <w:textAlignment w:val="auto"/>
        <w:outlineLvl w:val="1"/>
        <w:rPr>
          <w:rFonts w:hint="eastAsia" w:ascii="方正黑体_GBK" w:hAnsi="方正黑体_GBK" w:eastAsia="方正黑体_GBK" w:cs="方正黑体_GBK"/>
          <w:b w:val="0"/>
          <w:bCs/>
          <w:kern w:val="0"/>
          <w:sz w:val="32"/>
          <w:szCs w:val="32"/>
        </w:rPr>
      </w:pPr>
      <w:bookmarkStart w:id="68" w:name="_Toc19928"/>
      <w:bookmarkStart w:id="69" w:name="_Toc15318"/>
      <w:r>
        <w:rPr>
          <w:rFonts w:hint="eastAsia" w:ascii="方正黑体_GBK" w:hAnsi="方正黑体_GBK" w:eastAsia="方正黑体_GBK" w:cs="方正黑体_GBK"/>
          <w:b w:val="0"/>
          <w:bCs/>
          <w:kern w:val="0"/>
          <w:sz w:val="32"/>
          <w:szCs w:val="32"/>
          <w:lang w:val="en-US" w:eastAsia="zh-CN"/>
        </w:rPr>
        <w:t>六</w:t>
      </w:r>
      <w:r>
        <w:rPr>
          <w:rFonts w:hint="eastAsia" w:ascii="方正黑体_GBK" w:hAnsi="方正黑体_GBK" w:eastAsia="方正黑体_GBK" w:cs="方正黑体_GBK"/>
          <w:b w:val="0"/>
          <w:bCs/>
          <w:kern w:val="0"/>
          <w:sz w:val="32"/>
          <w:szCs w:val="32"/>
        </w:rPr>
        <w:t>、项目售后服务承诺</w:t>
      </w:r>
      <w:bookmarkEnd w:id="68"/>
      <w:bookmarkEnd w:id="69"/>
    </w:p>
    <w:p w14:paraId="6274EF9B">
      <w:pPr>
        <w:pStyle w:val="21"/>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outlineLvl w:val="1"/>
        <w:rPr>
          <w:rFonts w:hint="eastAsia" w:ascii="方正黑体_GBK" w:hAnsi="方正黑体_GBK" w:eastAsia="方正黑体_GBK" w:cs="方正黑体_GBK"/>
          <w:b w:val="0"/>
          <w:bCs/>
          <w:sz w:val="32"/>
          <w:szCs w:val="32"/>
        </w:rPr>
      </w:pPr>
      <w:bookmarkStart w:id="70" w:name="_Toc16834"/>
      <w:bookmarkStart w:id="71" w:name="_Toc7394"/>
      <w:r>
        <w:rPr>
          <w:rFonts w:hint="eastAsia" w:ascii="方正黑体_GBK" w:hAnsi="方正黑体_GBK" w:eastAsia="方正黑体_GBK" w:cs="方正黑体_GBK"/>
          <w:b w:val="0"/>
          <w:bCs/>
          <w:sz w:val="32"/>
          <w:szCs w:val="32"/>
          <w:lang w:val="en-US" w:eastAsia="zh-CN"/>
        </w:rPr>
        <w:t>七、</w:t>
      </w:r>
      <w:r>
        <w:rPr>
          <w:rFonts w:hint="eastAsia" w:ascii="方正黑体_GBK" w:hAnsi="方正黑体_GBK" w:eastAsia="方正黑体_GBK" w:cs="方正黑体_GBK"/>
          <w:b w:val="0"/>
          <w:bCs/>
          <w:sz w:val="32"/>
          <w:szCs w:val="32"/>
        </w:rPr>
        <w:t>供应商资质和资信证明文件</w:t>
      </w:r>
      <w:bookmarkEnd w:id="70"/>
      <w:bookmarkEnd w:id="71"/>
    </w:p>
    <w:p w14:paraId="5AC80F26">
      <w:pPr>
        <w:pStyle w:val="21"/>
        <w:keepNext w:val="0"/>
        <w:keepLines w:val="0"/>
        <w:pageBreakBefore w:val="0"/>
        <w:widowControl w:val="0"/>
        <w:kinsoku/>
        <w:wordWrap/>
        <w:overflowPunct/>
        <w:topLinePunct w:val="0"/>
        <w:autoSpaceDE/>
        <w:autoSpaceDN/>
        <w:bidi w:val="0"/>
        <w:adjustRightInd/>
        <w:snapToGrid/>
        <w:spacing w:line="600" w:lineRule="exact"/>
        <w:textAlignment w:val="auto"/>
        <w:outlineLvl w:val="1"/>
        <w:rPr>
          <w:rFonts w:hint="eastAsia" w:ascii="方正黑体_GBK" w:hAnsi="方正黑体_GBK" w:eastAsia="方正黑体_GBK" w:cs="方正黑体_GBK"/>
          <w:b w:val="0"/>
          <w:bCs/>
          <w:sz w:val="32"/>
          <w:szCs w:val="32"/>
        </w:rPr>
      </w:pPr>
      <w:bookmarkStart w:id="72" w:name="_Toc24445"/>
      <w:bookmarkStart w:id="73" w:name="_Toc15815"/>
      <w:r>
        <w:rPr>
          <w:rFonts w:hint="eastAsia" w:ascii="方正黑体_GBK" w:hAnsi="方正黑体_GBK" w:eastAsia="方正黑体_GBK" w:cs="方正黑体_GBK"/>
          <w:b w:val="0"/>
          <w:bCs/>
          <w:sz w:val="32"/>
          <w:szCs w:val="32"/>
          <w:lang w:val="en-US" w:eastAsia="zh-CN"/>
        </w:rPr>
        <w:t>八</w:t>
      </w:r>
      <w:r>
        <w:rPr>
          <w:rFonts w:hint="eastAsia" w:ascii="方正黑体_GBK" w:hAnsi="方正黑体_GBK" w:eastAsia="方正黑体_GBK" w:cs="方正黑体_GBK"/>
          <w:b w:val="0"/>
          <w:bCs/>
          <w:sz w:val="32"/>
          <w:szCs w:val="32"/>
        </w:rPr>
        <w:t>、其他资料</w:t>
      </w:r>
      <w:bookmarkEnd w:id="72"/>
      <w:bookmarkEnd w:id="73"/>
    </w:p>
    <w:p w14:paraId="3DC2A535">
      <w:pPr>
        <w:pStyle w:val="21"/>
        <w:outlineLvl w:val="1"/>
        <w:rPr>
          <w:rFonts w:ascii="仿宋_GB2312" w:eastAsia="仿宋_GB2312"/>
          <w:b/>
          <w:sz w:val="24"/>
          <w:szCs w:val="24"/>
        </w:rPr>
      </w:pPr>
    </w:p>
    <w:p w14:paraId="2F79E000">
      <w:pPr>
        <w:pStyle w:val="21"/>
        <w:jc w:val="center"/>
        <w:rPr>
          <w:rFonts w:ascii="仿宋_GB2312" w:eastAsia="仿宋_GB2312"/>
          <w:b/>
          <w:bCs/>
          <w:sz w:val="32"/>
          <w:szCs w:val="32"/>
        </w:rPr>
      </w:pPr>
    </w:p>
    <w:p w14:paraId="035247C5">
      <w:pPr>
        <w:pStyle w:val="21"/>
        <w:jc w:val="center"/>
        <w:rPr>
          <w:rFonts w:ascii="仿宋_GB2312" w:eastAsia="仿宋_GB2312"/>
          <w:b/>
          <w:bCs/>
          <w:sz w:val="32"/>
          <w:szCs w:val="32"/>
        </w:rPr>
      </w:pPr>
    </w:p>
    <w:p w14:paraId="43ECF3E8">
      <w:pPr>
        <w:pStyle w:val="21"/>
        <w:jc w:val="center"/>
        <w:rPr>
          <w:rFonts w:ascii="仿宋_GB2312" w:eastAsia="仿宋_GB2312"/>
          <w:b/>
          <w:bCs/>
          <w:sz w:val="32"/>
          <w:szCs w:val="32"/>
        </w:rPr>
      </w:pPr>
    </w:p>
    <w:p w14:paraId="3E105618">
      <w:pPr>
        <w:pStyle w:val="21"/>
        <w:jc w:val="center"/>
        <w:rPr>
          <w:rFonts w:ascii="仿宋_GB2312" w:eastAsia="仿宋_GB2312"/>
          <w:b/>
          <w:bCs/>
          <w:sz w:val="32"/>
          <w:szCs w:val="32"/>
        </w:rPr>
      </w:pPr>
    </w:p>
    <w:p w14:paraId="4C6D8851">
      <w:pPr>
        <w:pStyle w:val="21"/>
        <w:jc w:val="center"/>
        <w:rPr>
          <w:rFonts w:ascii="仿宋_GB2312" w:eastAsia="仿宋_GB2312"/>
          <w:b/>
          <w:bCs/>
          <w:sz w:val="32"/>
          <w:szCs w:val="32"/>
        </w:rPr>
      </w:pPr>
    </w:p>
    <w:p w14:paraId="57497401">
      <w:pPr>
        <w:pStyle w:val="21"/>
        <w:jc w:val="center"/>
        <w:rPr>
          <w:rFonts w:ascii="仿宋_GB2312" w:eastAsia="仿宋_GB2312"/>
          <w:b/>
          <w:bCs/>
          <w:sz w:val="32"/>
          <w:szCs w:val="32"/>
        </w:rPr>
      </w:pPr>
    </w:p>
    <w:p w14:paraId="4BDCE470">
      <w:pPr>
        <w:pStyle w:val="21"/>
        <w:jc w:val="center"/>
        <w:rPr>
          <w:rFonts w:ascii="仿宋_GB2312" w:eastAsia="仿宋_GB2312"/>
          <w:b/>
          <w:bCs/>
          <w:sz w:val="32"/>
          <w:szCs w:val="32"/>
        </w:rPr>
      </w:pPr>
    </w:p>
    <w:p w14:paraId="43599487">
      <w:pPr>
        <w:pStyle w:val="21"/>
        <w:jc w:val="center"/>
        <w:rPr>
          <w:rFonts w:ascii="仿宋_GB2312" w:eastAsia="仿宋_GB2312"/>
          <w:b/>
          <w:bCs/>
          <w:sz w:val="32"/>
          <w:szCs w:val="32"/>
        </w:rPr>
      </w:pPr>
    </w:p>
    <w:p w14:paraId="7161B6C8">
      <w:pPr>
        <w:pStyle w:val="21"/>
        <w:jc w:val="center"/>
        <w:rPr>
          <w:rFonts w:ascii="仿宋_GB2312" w:eastAsia="仿宋_GB2312"/>
          <w:b/>
          <w:bCs/>
          <w:sz w:val="32"/>
          <w:szCs w:val="32"/>
        </w:rPr>
      </w:pPr>
    </w:p>
    <w:p w14:paraId="2692F887">
      <w:pPr>
        <w:pStyle w:val="21"/>
        <w:jc w:val="center"/>
        <w:rPr>
          <w:rFonts w:ascii="仿宋_GB2312" w:eastAsia="仿宋_GB2312"/>
          <w:b/>
          <w:bCs/>
          <w:sz w:val="32"/>
          <w:szCs w:val="32"/>
        </w:rPr>
      </w:pPr>
    </w:p>
    <w:p w14:paraId="443847E0">
      <w:pPr>
        <w:pStyle w:val="21"/>
        <w:jc w:val="center"/>
        <w:rPr>
          <w:rFonts w:ascii="仿宋_GB2312" w:eastAsia="仿宋_GB2312"/>
          <w:b/>
          <w:bCs/>
          <w:sz w:val="32"/>
          <w:szCs w:val="32"/>
        </w:rPr>
      </w:pPr>
    </w:p>
    <w:p w14:paraId="6BDBD7A7">
      <w:pPr>
        <w:pStyle w:val="21"/>
        <w:jc w:val="center"/>
        <w:rPr>
          <w:rFonts w:ascii="仿宋_GB2312" w:eastAsia="仿宋_GB2312"/>
          <w:b/>
          <w:bCs/>
          <w:sz w:val="32"/>
          <w:szCs w:val="32"/>
        </w:rPr>
      </w:pPr>
    </w:p>
    <w:p w14:paraId="377AA318">
      <w:pPr>
        <w:pStyle w:val="21"/>
        <w:jc w:val="center"/>
        <w:rPr>
          <w:rFonts w:ascii="仿宋_GB2312" w:eastAsia="仿宋_GB2312"/>
          <w:b/>
          <w:bCs/>
          <w:sz w:val="32"/>
          <w:szCs w:val="32"/>
        </w:rPr>
      </w:pPr>
    </w:p>
    <w:p w14:paraId="36D32477">
      <w:pPr>
        <w:pStyle w:val="21"/>
        <w:jc w:val="center"/>
        <w:rPr>
          <w:rFonts w:ascii="仿宋_GB2312" w:eastAsia="仿宋_GB2312"/>
          <w:b/>
          <w:bCs/>
          <w:sz w:val="32"/>
          <w:szCs w:val="32"/>
        </w:rPr>
      </w:pPr>
    </w:p>
    <w:p w14:paraId="276407A7">
      <w:pPr>
        <w:pStyle w:val="21"/>
        <w:jc w:val="center"/>
        <w:rPr>
          <w:rFonts w:ascii="仿宋_GB2312" w:eastAsia="仿宋_GB2312"/>
          <w:b/>
          <w:bCs/>
          <w:sz w:val="32"/>
          <w:szCs w:val="32"/>
        </w:rPr>
      </w:pPr>
    </w:p>
    <w:p w14:paraId="02F4080D">
      <w:pPr>
        <w:rPr>
          <w:rFonts w:ascii="仿宋_GB2312" w:eastAsia="仿宋_GB2312"/>
          <w:b/>
          <w:bCs/>
          <w:sz w:val="32"/>
          <w:szCs w:val="32"/>
        </w:rPr>
      </w:pPr>
      <w:r>
        <w:rPr>
          <w:rFonts w:ascii="仿宋_GB2312" w:eastAsia="仿宋_GB2312"/>
          <w:b/>
          <w:bCs/>
          <w:sz w:val="32"/>
          <w:szCs w:val="32"/>
        </w:rPr>
        <w:br w:type="page"/>
      </w:r>
    </w:p>
    <w:p w14:paraId="71C67EDC"/>
    <w:p w14:paraId="45BCB8F2">
      <w:pPr>
        <w:pStyle w:val="21"/>
        <w:keepNext w:val="0"/>
        <w:keepLines w:val="0"/>
        <w:pageBreakBefore w:val="0"/>
        <w:widowControl w:val="0"/>
        <w:kinsoku/>
        <w:wordWrap/>
        <w:overflowPunct/>
        <w:topLinePunct w:val="0"/>
        <w:autoSpaceDE/>
        <w:autoSpaceDN/>
        <w:bidi w:val="0"/>
        <w:adjustRightInd/>
        <w:snapToGrid/>
        <w:spacing w:line="720" w:lineRule="exact"/>
        <w:jc w:val="center"/>
        <w:textAlignment w:val="auto"/>
        <w:outlineLvl w:val="1"/>
        <w:rPr>
          <w:rFonts w:hint="eastAsia" w:ascii="方正小标宋_GBK" w:hAnsi="方正小标宋_GBK" w:eastAsia="方正小标宋_GBK" w:cs="方正小标宋_GBK"/>
          <w:b w:val="0"/>
          <w:bCs w:val="0"/>
          <w:sz w:val="44"/>
          <w:szCs w:val="44"/>
        </w:rPr>
      </w:pPr>
      <w:bookmarkStart w:id="74" w:name="_Toc18739"/>
      <w:bookmarkStart w:id="75" w:name="_Toc15180"/>
      <w:r>
        <w:rPr>
          <w:rFonts w:hint="eastAsia" w:ascii="方正小标宋_GBK" w:hAnsi="方正小标宋_GBK" w:eastAsia="方正小标宋_GBK" w:cs="方正小标宋_GBK"/>
          <w:b w:val="0"/>
          <w:bCs w:val="0"/>
          <w:sz w:val="44"/>
          <w:szCs w:val="44"/>
        </w:rPr>
        <w:t>法定代表人授权委托书（样式）</w:t>
      </w:r>
      <w:bookmarkEnd w:id="74"/>
      <w:bookmarkEnd w:id="75"/>
    </w:p>
    <w:p w14:paraId="67074B47">
      <w:pPr>
        <w:pStyle w:val="21"/>
        <w:rPr>
          <w:rFonts w:ascii="仿宋_GB2312" w:eastAsia="仿宋_GB2312"/>
          <w:sz w:val="24"/>
          <w:szCs w:val="24"/>
        </w:rPr>
      </w:pPr>
    </w:p>
    <w:p w14:paraId="4FFFADD6">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现授权</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（姓名）为我公司的代理人，以公司名义参加曲靖市</w:t>
      </w:r>
      <w:r>
        <w:rPr>
          <w:rFonts w:hint="eastAsia"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（采购编号）的竞争性活动，代理人在响应文件开启、、合同中所签署的一切和处理与之有关的一切事务，我均予承认。代理人无权转委托权。特此委托。</w:t>
      </w:r>
    </w:p>
    <w:p w14:paraId="580CA9B1">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p>
    <w:p w14:paraId="09DF60F8">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p>
    <w:p w14:paraId="2EC92ACB">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代理人：</w:t>
      </w:r>
    </w:p>
    <w:p w14:paraId="0370A66D">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性别：</w:t>
      </w:r>
    </w:p>
    <w:p w14:paraId="6435B9D2">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身份证号：</w:t>
      </w:r>
    </w:p>
    <w:p w14:paraId="348C18FD">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身份证复印件：</w:t>
      </w:r>
    </w:p>
    <w:p w14:paraId="7AFE1E8E">
      <w:pPr>
        <w:rPr>
          <w:rFonts w:hint="default" w:ascii="Times New Roman" w:hAnsi="Times New Roman" w:eastAsia="方正仿宋_GBK" w:cs="Times New Roman"/>
          <w:sz w:val="32"/>
          <w:szCs w:val="32"/>
        </w:rPr>
      </w:pPr>
    </w:p>
    <w:p w14:paraId="23B24FDA">
      <w:pPr>
        <w:pStyle w:val="2"/>
        <w:rPr>
          <w:rFonts w:hint="default"/>
        </w:rPr>
      </w:pPr>
    </w:p>
    <w:p w14:paraId="6AE1DE74">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法定代表人（签字）：</w:t>
      </w:r>
      <w:r>
        <w:rPr>
          <w:rFonts w:hint="default" w:ascii="Times New Roman" w:hAnsi="Times New Roman" w:eastAsia="方正仿宋_GBK" w:cs="Times New Roman"/>
          <w:sz w:val="32"/>
          <w:szCs w:val="32"/>
          <w:u w:val="single"/>
        </w:rPr>
        <w:t xml:space="preserve">                         </w:t>
      </w:r>
    </w:p>
    <w:p w14:paraId="5582E984">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p>
    <w:p w14:paraId="61E7C2C4">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供应商全称（公章）：</w:t>
      </w:r>
      <w:r>
        <w:rPr>
          <w:rFonts w:hint="default" w:ascii="Times New Roman" w:hAnsi="Times New Roman" w:eastAsia="方正仿宋_GBK" w:cs="Times New Roman"/>
          <w:sz w:val="32"/>
          <w:szCs w:val="32"/>
          <w:u w:val="single"/>
        </w:rPr>
        <w:t xml:space="preserve">　　　　　　　　　　　 </w:t>
      </w:r>
    </w:p>
    <w:p w14:paraId="2F0819E5">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u w:val="single"/>
        </w:rPr>
      </w:pPr>
    </w:p>
    <w:p w14:paraId="60C8507D">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p>
    <w:p w14:paraId="768C1299">
      <w:pPr>
        <w:keepNext w:val="0"/>
        <w:keepLines w:val="0"/>
        <w:pageBreakBefore w:val="0"/>
        <w:widowControl w:val="0"/>
        <w:kinsoku/>
        <w:wordWrap w:val="0"/>
        <w:overflowPunct/>
        <w:topLinePunct w:val="0"/>
        <w:autoSpaceDE/>
        <w:autoSpaceDN/>
        <w:bidi w:val="0"/>
        <w:adjustRightInd/>
        <w:snapToGrid/>
        <w:spacing w:line="600" w:lineRule="exact"/>
        <w:ind w:right="0" w:firstLine="6400" w:firstLineChars="20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年  　月　  日</w:t>
      </w:r>
    </w:p>
    <w:p w14:paraId="59F3BB69">
      <w:pPr>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p>
    <w:p w14:paraId="5AC0ADD2">
      <w:pPr>
        <w:pStyle w:val="21"/>
        <w:keepNext w:val="0"/>
        <w:keepLines w:val="0"/>
        <w:pageBreakBefore w:val="0"/>
        <w:widowControl w:val="0"/>
        <w:kinsoku/>
        <w:overflowPunct/>
        <w:topLinePunct w:val="0"/>
        <w:autoSpaceDE/>
        <w:autoSpaceDN/>
        <w:bidi w:val="0"/>
        <w:adjustRightInd/>
        <w:snapToGrid/>
        <w:spacing w:line="600" w:lineRule="exact"/>
        <w:ind w:right="0" w:firstLine="643" w:firstLineChars="200"/>
        <w:jc w:val="both"/>
        <w:textAlignment w:val="auto"/>
        <w:rPr>
          <w:rFonts w:hint="default" w:ascii="Times New Roman" w:hAnsi="Times New Roman" w:eastAsia="方正仿宋_GBK" w:cs="Times New Roman"/>
          <w:b/>
          <w:bCs/>
          <w:sz w:val="32"/>
          <w:szCs w:val="32"/>
        </w:rPr>
      </w:pPr>
    </w:p>
    <w:p w14:paraId="785AE942">
      <w:pPr>
        <w:rPr>
          <w:rFonts w:hint="default" w:ascii="Times New Roman" w:hAnsi="Times New Roman" w:eastAsia="方正仿宋_GBK" w:cs="Times New Roman"/>
          <w:b/>
          <w:bCs/>
          <w:sz w:val="32"/>
          <w:szCs w:val="32"/>
        </w:rPr>
      </w:pPr>
    </w:p>
    <w:p w14:paraId="46B0F994">
      <w:pPr>
        <w:pStyle w:val="98"/>
        <w:rPr>
          <w:rFonts w:hint="default"/>
        </w:rPr>
      </w:pPr>
    </w:p>
    <w:p w14:paraId="5C7F4BB8">
      <w:pPr>
        <w:pStyle w:val="21"/>
        <w:keepNext w:val="0"/>
        <w:keepLines w:val="0"/>
        <w:pageBreakBefore w:val="0"/>
        <w:widowControl w:val="0"/>
        <w:kinsoku/>
        <w:wordWrap/>
        <w:overflowPunct/>
        <w:topLinePunct w:val="0"/>
        <w:autoSpaceDE/>
        <w:autoSpaceDN/>
        <w:bidi w:val="0"/>
        <w:adjustRightInd/>
        <w:snapToGrid/>
        <w:spacing w:line="720" w:lineRule="exact"/>
        <w:ind w:right="0" w:firstLine="0" w:firstLineChars="0"/>
        <w:jc w:val="center"/>
        <w:textAlignment w:val="auto"/>
        <w:outlineLvl w:val="1"/>
        <w:rPr>
          <w:rFonts w:hint="eastAsia" w:ascii="方正小标宋_GBK" w:hAnsi="方正小标宋_GBK" w:eastAsia="方正小标宋_GBK" w:cs="方正小标宋_GBK"/>
          <w:b w:val="0"/>
          <w:bCs w:val="0"/>
          <w:sz w:val="44"/>
          <w:szCs w:val="44"/>
        </w:rPr>
      </w:pPr>
      <w:bookmarkStart w:id="76" w:name="_Toc30061"/>
      <w:bookmarkStart w:id="77" w:name="_Toc23862"/>
      <w:r>
        <w:rPr>
          <w:rFonts w:hint="eastAsia" w:ascii="方正小标宋_GBK" w:hAnsi="方正小标宋_GBK" w:eastAsia="方正小标宋_GBK" w:cs="方正小标宋_GBK"/>
          <w:b w:val="0"/>
          <w:bCs w:val="0"/>
          <w:sz w:val="44"/>
          <w:szCs w:val="44"/>
        </w:rPr>
        <w:t>法定代表人资格证明（样式）</w:t>
      </w:r>
      <w:bookmarkEnd w:id="76"/>
      <w:bookmarkEnd w:id="77"/>
    </w:p>
    <w:p w14:paraId="42CD69BB">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p>
    <w:p w14:paraId="1CB19B55">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，性别：</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，为我公司法定代表人。</w:t>
      </w:r>
    </w:p>
    <w:p w14:paraId="5EDE637F">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特此证明。</w:t>
      </w:r>
    </w:p>
    <w:p w14:paraId="17574E63">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p>
    <w:p w14:paraId="00DEE012">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身份证复印件：</w:t>
      </w:r>
    </w:p>
    <w:p w14:paraId="41E58AB4">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p>
    <w:p w14:paraId="0E289804">
      <w:pPr>
        <w:pStyle w:val="21"/>
        <w:keepNext w:val="0"/>
        <w:keepLines w:val="0"/>
        <w:pageBreakBefore w:val="0"/>
        <w:widowControl w:val="0"/>
        <w:kinsoku/>
        <w:overflowPunct/>
        <w:topLinePunct w:val="0"/>
        <w:autoSpaceDE/>
        <w:autoSpaceDN/>
        <w:bidi w:val="0"/>
        <w:adjustRightInd/>
        <w:snapToGrid/>
        <w:spacing w:line="600" w:lineRule="exact"/>
        <w:ind w:right="0"/>
        <w:jc w:val="both"/>
        <w:textAlignment w:val="auto"/>
        <w:rPr>
          <w:rFonts w:hint="default" w:ascii="Times New Roman" w:hAnsi="Times New Roman" w:eastAsia="方正仿宋_GBK" w:cs="Times New Roman"/>
          <w:sz w:val="32"/>
          <w:szCs w:val="32"/>
        </w:rPr>
      </w:pPr>
    </w:p>
    <w:p w14:paraId="1CC36E01">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供应商全称（公章）：</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 xml:space="preserve"> </w:t>
      </w:r>
    </w:p>
    <w:p w14:paraId="01C396E0">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p>
    <w:p w14:paraId="3D8770F6">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rPr>
      </w:pPr>
    </w:p>
    <w:p w14:paraId="223B220B">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eastAsia"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年    月    日</w:t>
      </w:r>
    </w:p>
    <w:p w14:paraId="7106C818">
      <w:pPr>
        <w:keepNext w:val="0"/>
        <w:keepLines w:val="0"/>
        <w:pageBreakBefore w:val="0"/>
        <w:widowControl w:val="0"/>
        <w:kinsoku/>
        <w:overflowPunct/>
        <w:topLinePunct w:val="0"/>
        <w:autoSpaceDE/>
        <w:autoSpaceDN/>
        <w:bidi w:val="0"/>
        <w:adjustRightInd/>
        <w:snapToGrid/>
        <w:spacing w:line="600" w:lineRule="exact"/>
        <w:ind w:right="0" w:firstLine="643" w:firstLineChars="200"/>
        <w:jc w:val="both"/>
        <w:textAlignment w:val="auto"/>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br w:type="page"/>
      </w:r>
    </w:p>
    <w:p w14:paraId="6228976C">
      <w:pPr>
        <w:pStyle w:val="21"/>
        <w:keepNext w:val="0"/>
        <w:keepLines w:val="0"/>
        <w:pageBreakBefore w:val="0"/>
        <w:widowControl w:val="0"/>
        <w:kinsoku/>
        <w:wordWrap/>
        <w:overflowPunct/>
        <w:topLinePunct w:val="0"/>
        <w:autoSpaceDE/>
        <w:autoSpaceDN/>
        <w:bidi w:val="0"/>
        <w:adjustRightInd/>
        <w:snapToGrid/>
        <w:spacing w:line="720" w:lineRule="exact"/>
        <w:jc w:val="center"/>
        <w:textAlignment w:val="auto"/>
        <w:outlineLvl w:val="1"/>
        <w:rPr>
          <w:rFonts w:hint="eastAsia" w:ascii="方正小标宋_GBK" w:hAnsi="方正小标宋_GBK" w:eastAsia="方正小标宋_GBK" w:cs="方正小标宋_GBK"/>
          <w:b w:val="0"/>
          <w:bCs w:val="0"/>
          <w:sz w:val="44"/>
          <w:szCs w:val="44"/>
        </w:rPr>
      </w:pPr>
      <w:bookmarkStart w:id="78" w:name="_Toc11949"/>
      <w:bookmarkStart w:id="79" w:name="_Toc6778"/>
      <w:r>
        <w:rPr>
          <w:rFonts w:hint="eastAsia" w:ascii="方正小标宋_GBK" w:hAnsi="方正小标宋_GBK" w:eastAsia="方正小标宋_GBK" w:cs="方正小标宋_GBK"/>
          <w:b w:val="0"/>
          <w:bCs w:val="0"/>
          <w:sz w:val="44"/>
          <w:szCs w:val="44"/>
        </w:rPr>
        <w:t>中小企业声明函（工程、服务）</w:t>
      </w:r>
      <w:bookmarkEnd w:id="78"/>
      <w:bookmarkEnd w:id="79"/>
    </w:p>
    <w:p w14:paraId="60565043"/>
    <w:p w14:paraId="116E4678">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 xml:space="preserve">公司郑重声明，根据《政府采购促进中小企业发展管理办法》（财库﹝2020﹞46 号）的规定，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公司参加</w:t>
      </w:r>
      <w:r>
        <w:rPr>
          <w:rFonts w:hint="default" w:ascii="Times New Roman" w:hAnsi="Times New Roman" w:eastAsia="方正仿宋_GBK" w:cs="Times New Roman"/>
          <w:sz w:val="32"/>
          <w:szCs w:val="32"/>
          <w:u w:val="single"/>
        </w:rPr>
        <w:t>（单位名称）</w:t>
      </w:r>
      <w:r>
        <w:rPr>
          <w:rFonts w:hint="default" w:ascii="Times New Roman" w:hAnsi="Times New Roman" w:eastAsia="方正仿宋_GBK" w:cs="Times New Roman"/>
          <w:sz w:val="32"/>
          <w:szCs w:val="32"/>
        </w:rPr>
        <w:t>的</w:t>
      </w:r>
      <w:r>
        <w:rPr>
          <w:rFonts w:hint="default" w:ascii="Times New Roman" w:hAnsi="Times New Roman" w:eastAsia="方正仿宋_GBK" w:cs="Times New Roman"/>
          <w:sz w:val="32"/>
          <w:szCs w:val="32"/>
          <w:u w:val="single"/>
        </w:rPr>
        <w:t>（项目名称）</w:t>
      </w:r>
      <w:r>
        <w:rPr>
          <w:rFonts w:hint="default" w:ascii="Times New Roman" w:hAnsi="Times New Roman" w:eastAsia="方正仿宋_GBK" w:cs="Times New Roman"/>
          <w:sz w:val="32"/>
          <w:szCs w:val="32"/>
        </w:rPr>
        <w:t>采购活动，工程的施工单位全部为符合政策要求的中小企业（或者：服务全部由符合政策要求的中小企业承接）。相关企业（含联合 体中的中小企业、签订分包意向协议的中小企业）的具体情况如下：</w:t>
      </w:r>
    </w:p>
    <w:p w14:paraId="2524638A">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w:t>
      </w:r>
      <w:r>
        <w:rPr>
          <w:rFonts w:hint="default" w:ascii="Times New Roman" w:hAnsi="Times New Roman" w:eastAsia="方正仿宋_GBK" w:cs="Times New Roman"/>
          <w:sz w:val="32"/>
          <w:szCs w:val="32"/>
          <w:u w:val="single"/>
        </w:rPr>
        <w:t>（标的名称）</w:t>
      </w:r>
      <w:r>
        <w:rPr>
          <w:rFonts w:hint="default" w:ascii="Times New Roman" w:hAnsi="Times New Roman" w:eastAsia="方正仿宋_GBK" w:cs="Times New Roman"/>
          <w:sz w:val="32"/>
          <w:szCs w:val="32"/>
        </w:rPr>
        <w:t>，属于</w:t>
      </w:r>
      <w:r>
        <w:rPr>
          <w:rFonts w:hint="default" w:ascii="Times New Roman" w:hAnsi="Times New Roman" w:eastAsia="方正仿宋_GBK" w:cs="Times New Roman"/>
          <w:sz w:val="32"/>
          <w:szCs w:val="32"/>
          <w:u w:val="single"/>
        </w:rPr>
        <w:t>（采购文件中明确的所属行业）</w:t>
      </w:r>
      <w:r>
        <w:rPr>
          <w:rFonts w:hint="default" w:ascii="Times New Roman" w:hAnsi="Times New Roman" w:eastAsia="方正仿宋_GBK" w:cs="Times New Roman"/>
          <w:sz w:val="32"/>
          <w:szCs w:val="32"/>
        </w:rPr>
        <w:t>；承建（承接）企业为</w:t>
      </w:r>
      <w:r>
        <w:rPr>
          <w:rFonts w:hint="default" w:ascii="Times New Roman" w:hAnsi="Times New Roman" w:eastAsia="方正仿宋_GBK" w:cs="Times New Roman"/>
          <w:sz w:val="32"/>
          <w:szCs w:val="32"/>
          <w:u w:val="single"/>
        </w:rPr>
        <w:t>（企业名称）</w:t>
      </w:r>
      <w:r>
        <w:rPr>
          <w:rFonts w:hint="default" w:ascii="Times New Roman" w:hAnsi="Times New Roman" w:eastAsia="方正仿宋_GBK" w:cs="Times New Roman"/>
          <w:sz w:val="32"/>
          <w:szCs w:val="32"/>
        </w:rPr>
        <w:t>，从业人员</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rPr>
        <w:tab/>
      </w:r>
      <w:r>
        <w:rPr>
          <w:rFonts w:hint="default" w:ascii="Times New Roman" w:hAnsi="Times New Roman" w:eastAsia="方正仿宋_GBK" w:cs="Times New Roman"/>
          <w:sz w:val="32"/>
          <w:szCs w:val="32"/>
        </w:rPr>
        <w:t>人，营业收入为</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rPr>
        <w:tab/>
      </w:r>
      <w:r>
        <w:rPr>
          <w:rFonts w:hint="default" w:ascii="Times New Roman" w:hAnsi="Times New Roman" w:eastAsia="方正仿宋_GBK" w:cs="Times New Roman"/>
          <w:sz w:val="32"/>
          <w:szCs w:val="32"/>
        </w:rPr>
        <w:t>万元，资产总额为</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rPr>
        <w:tab/>
      </w:r>
      <w:r>
        <w:rPr>
          <w:rFonts w:hint="default" w:ascii="Times New Roman" w:hAnsi="Times New Roman" w:eastAsia="方正仿宋_GBK" w:cs="Times New Roman"/>
          <w:sz w:val="32"/>
          <w:szCs w:val="32"/>
        </w:rPr>
        <w:t>万元</w:t>
      </w:r>
      <w:r>
        <w:rPr>
          <w:rStyle w:val="40"/>
          <w:rFonts w:hint="default" w:ascii="Times New Roman" w:hAnsi="Times New Roman" w:eastAsia="方正仿宋_GBK" w:cs="Times New Roman"/>
          <w:sz w:val="32"/>
          <w:szCs w:val="32"/>
        </w:rPr>
        <w:endnoteReference w:id="0"/>
      </w:r>
      <w:r>
        <w:rPr>
          <w:rFonts w:hint="default" w:ascii="Times New Roman" w:hAnsi="Times New Roman" w:eastAsia="方正仿宋_GBK" w:cs="Times New Roman"/>
          <w:sz w:val="32"/>
          <w:szCs w:val="32"/>
        </w:rPr>
        <w:t>，属于</w:t>
      </w:r>
      <w:r>
        <w:rPr>
          <w:rFonts w:hint="default" w:ascii="Times New Roman" w:hAnsi="Times New Roman" w:eastAsia="方正仿宋_GBK" w:cs="Times New Roman"/>
          <w:sz w:val="32"/>
          <w:szCs w:val="32"/>
          <w:u w:val="single"/>
        </w:rPr>
        <w:t>（中型企业、小型企业、微型企业）</w:t>
      </w:r>
      <w:r>
        <w:rPr>
          <w:rFonts w:hint="default" w:ascii="Times New Roman" w:hAnsi="Times New Roman" w:eastAsia="方正仿宋_GBK" w:cs="Times New Roman"/>
          <w:sz w:val="32"/>
          <w:szCs w:val="32"/>
        </w:rPr>
        <w:t>；</w:t>
      </w:r>
    </w:p>
    <w:p w14:paraId="082F9F7B">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u w:val="single"/>
        </w:rPr>
        <w:t>（标的名称）</w:t>
      </w:r>
      <w:r>
        <w:rPr>
          <w:rFonts w:hint="default" w:ascii="Times New Roman" w:hAnsi="Times New Roman" w:eastAsia="方正仿宋_GBK" w:cs="Times New Roman"/>
          <w:sz w:val="32"/>
          <w:szCs w:val="32"/>
        </w:rPr>
        <w:t>，属于</w:t>
      </w:r>
      <w:r>
        <w:rPr>
          <w:rFonts w:hint="default" w:ascii="Times New Roman" w:hAnsi="Times New Roman" w:eastAsia="方正仿宋_GBK" w:cs="Times New Roman"/>
          <w:sz w:val="32"/>
          <w:szCs w:val="32"/>
          <w:u w:val="single"/>
        </w:rPr>
        <w:t>（采购文件中明确的所属行业）</w:t>
      </w:r>
      <w:r>
        <w:rPr>
          <w:rFonts w:hint="default" w:ascii="Times New Roman" w:hAnsi="Times New Roman" w:eastAsia="方正仿宋_GBK" w:cs="Times New Roman"/>
          <w:sz w:val="32"/>
          <w:szCs w:val="32"/>
        </w:rPr>
        <w:t>；承建（承接）企业为</w:t>
      </w:r>
      <w:r>
        <w:rPr>
          <w:rFonts w:hint="default" w:ascii="Times New Roman" w:hAnsi="Times New Roman" w:eastAsia="方正仿宋_GBK" w:cs="Times New Roman"/>
          <w:sz w:val="32"/>
          <w:szCs w:val="32"/>
          <w:u w:val="single"/>
        </w:rPr>
        <w:t>（企业名称）</w:t>
      </w:r>
      <w:r>
        <w:rPr>
          <w:rFonts w:hint="default" w:ascii="Times New Roman" w:hAnsi="Times New Roman" w:eastAsia="方正仿宋_GBK" w:cs="Times New Roman"/>
          <w:sz w:val="32"/>
          <w:szCs w:val="32"/>
        </w:rPr>
        <w:t>，从业人员</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rPr>
        <w:tab/>
      </w:r>
      <w:r>
        <w:rPr>
          <w:rFonts w:hint="default" w:ascii="Times New Roman" w:hAnsi="Times New Roman" w:eastAsia="方正仿宋_GBK" w:cs="Times New Roman"/>
          <w:sz w:val="32"/>
          <w:szCs w:val="32"/>
        </w:rPr>
        <w:t>人，营业收入为</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rPr>
        <w:tab/>
      </w:r>
      <w:r>
        <w:rPr>
          <w:rFonts w:hint="default" w:ascii="Times New Roman" w:hAnsi="Times New Roman" w:eastAsia="方正仿宋_GBK" w:cs="Times New Roman"/>
          <w:sz w:val="32"/>
          <w:szCs w:val="32"/>
        </w:rPr>
        <w:t>万元，资产总额为</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rPr>
        <w:tab/>
      </w:r>
      <w:r>
        <w:rPr>
          <w:rFonts w:hint="default" w:ascii="Times New Roman" w:hAnsi="Times New Roman" w:eastAsia="方正仿宋_GBK" w:cs="Times New Roman"/>
          <w:sz w:val="32"/>
          <w:szCs w:val="32"/>
          <w:u w:val="single"/>
        </w:rPr>
        <w:t>万</w:t>
      </w:r>
      <w:r>
        <w:rPr>
          <w:rFonts w:hint="default" w:ascii="Times New Roman" w:hAnsi="Times New Roman" w:eastAsia="方正仿宋_GBK" w:cs="Times New Roman"/>
          <w:sz w:val="32"/>
          <w:szCs w:val="32"/>
        </w:rPr>
        <w:t>元，属于</w:t>
      </w:r>
      <w:r>
        <w:rPr>
          <w:rFonts w:hint="default" w:ascii="Times New Roman" w:hAnsi="Times New Roman" w:eastAsia="方正仿宋_GBK" w:cs="Times New Roman"/>
          <w:sz w:val="32"/>
          <w:szCs w:val="32"/>
          <w:u w:val="single"/>
        </w:rPr>
        <w:t>（中型企业、小型企业、微型企业）</w:t>
      </w:r>
      <w:r>
        <w:rPr>
          <w:rFonts w:hint="default" w:ascii="Times New Roman" w:hAnsi="Times New Roman" w:eastAsia="方正仿宋_GBK" w:cs="Times New Roman"/>
          <w:sz w:val="32"/>
          <w:szCs w:val="32"/>
        </w:rPr>
        <w:t>；</w:t>
      </w:r>
    </w:p>
    <w:p w14:paraId="2147C32B">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w:t>
      </w:r>
    </w:p>
    <w:p w14:paraId="7C682B32">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以上企业，不属于大企业的分支机构，不存在控股股东为大企业的情形，也不存在与大企业的负责人为同一人的情形。</w:t>
      </w:r>
    </w:p>
    <w:p w14:paraId="603A6CD8">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本企业对上述声明内容的真实性负责。如有虚假，将依法承担相应责任。</w:t>
      </w:r>
    </w:p>
    <w:p w14:paraId="6E861421">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企业名称（盖章）：</w:t>
      </w:r>
    </w:p>
    <w:p w14:paraId="677BD9DC">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日期：</w:t>
      </w:r>
    </w:p>
    <w:p w14:paraId="651A2276">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sz w:val="32"/>
          <w:szCs w:val="32"/>
        </w:rPr>
      </w:pPr>
    </w:p>
    <w:p w14:paraId="3F4D0102">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sz w:val="32"/>
          <w:szCs w:val="32"/>
        </w:rPr>
      </w:pPr>
    </w:p>
    <w:sectPr>
      <w:pgSz w:w="11906" w:h="16838"/>
      <w:pgMar w:top="1134" w:right="1134" w:bottom="1247" w:left="1134"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2">
    <w:p>
      <w:r>
        <w:separator/>
      </w:r>
    </w:p>
  </w:endnote>
  <w:endnote w:type="continuationSeparator" w:id="3">
    <w:p>
      <w:r>
        <w:continuationSeparator/>
      </w:r>
    </w:p>
  </w:endnote>
  <w:endnote w:id="0">
    <w:p w14:paraId="3F4F059A">
      <w:pPr>
        <w:pStyle w:val="24"/>
      </w:pPr>
      <w:r>
        <w:rPr>
          <w:rStyle w:val="40"/>
        </w:rPr>
        <w:endnoteRef/>
      </w:r>
      <w:r>
        <w:t xml:space="preserve"> </w:t>
      </w:r>
      <w:r>
        <w:rPr>
          <w:rFonts w:hint="eastAsia" w:ascii="宋体"/>
          <w:sz w:val="18"/>
        </w:rPr>
        <w:t>从业人员、营业收入、资产总额填报上一年度数据，无上一年度数据的新成立企业可不填报</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书宋简体">
    <w:panose1 w:val="02000000000000000000"/>
    <w:charset w:val="86"/>
    <w:family w:val="auto"/>
    <w:pitch w:val="default"/>
    <w:sig w:usb0="A00002BF" w:usb1="184F6CFA" w:usb2="00000012" w:usb3="00000000" w:csb0="00040001" w:csb1="00000000"/>
  </w:font>
  <w:font w:name="Calibri Light">
    <w:panose1 w:val="020F0302020204030204"/>
    <w:charset w:val="00"/>
    <w:family w:val="auto"/>
    <w:pitch w:val="default"/>
    <w:sig w:usb0="A00002EF" w:usb1="4000207B" w:usb2="00000000" w:usb3="00000000" w:csb0="2000019F" w:csb1="00000000"/>
  </w:font>
  <w:font w:name="BatangChe">
    <w:panose1 w:val="02030609000101010101"/>
    <w:charset w:val="81"/>
    <w:family w:val="modern"/>
    <w:pitch w:val="default"/>
    <w:sig w:usb0="B00002AF" w:usb1="69D77CFB" w:usb2="00000030" w:usb3="00000000" w:csb0="4008009F" w:csb1="DFD70000"/>
  </w:font>
  <w:font w:name="Cambria">
    <w:panose1 w:val="02040503050406030204"/>
    <w:charset w:val="00"/>
    <w:family w:val="roman"/>
    <w:pitch w:val="default"/>
    <w:sig w:usb0="A00002EF" w:usb1="4000004B" w:usb2="00000000" w:usb3="00000000" w:csb0="2000019F"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方正隶书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auto"/>
    <w:pitch w:val="default"/>
    <w:sig w:usb0="A00002BF" w:usb1="38CF7CFA" w:usb2="00082016" w:usb3="00000000" w:csb0="00040001" w:csb1="00000000"/>
  </w:font>
  <w:font w:name="方正仿宋_GBK">
    <w:panose1 w:val="03000509000000000000"/>
    <w:charset w:val="86"/>
    <w:family w:val="auto"/>
    <w:pitch w:val="default"/>
    <w:sig w:usb0="00000001" w:usb1="080E0000" w:usb2="00000000" w:usb3="00000000" w:csb0="00040000" w:csb1="00000000"/>
  </w:font>
  <w:font w:name="方正黑体_GBK">
    <w:panose1 w:val="02000000000000000000"/>
    <w:charset w:val="86"/>
    <w:family w:val="auto"/>
    <w:pitch w:val="default"/>
    <w:sig w:usb0="A00002BF" w:usb1="38CF7CFA" w:usb2="00082016" w:usb3="00000000" w:csb0="00040001" w:csb1="00000000"/>
  </w:font>
  <w:font w:name="方正楷体_GBK">
    <w:panose1 w:val="02000000000000000000"/>
    <w:charset w:val="86"/>
    <w:family w:val="auto"/>
    <w:pitch w:val="default"/>
    <w:sig w:usb0="A00002BF" w:usb1="38CF7CFA" w:usb2="00082016" w:usb3="00000000" w:csb0="00040001" w:csb1="00000000"/>
  </w:font>
  <w:font w:name="隶书">
    <w:altName w:val="微软雅黑"/>
    <w:panose1 w:val="0201050906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3BCECB">
    <w:pPr>
      <w:pStyle w:val="2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630387">
    <w:pPr>
      <w:pStyle w:val="26"/>
      <w:tabs>
        <w:tab w:val="left" w:pos="5469"/>
      </w:tabs>
    </w:pPr>
    <w:r>
      <w:rPr>
        <w:rFonts w:hint="eastAsia"/>
      </w:rPr>
      <w:tab/>
    </w:r>
    <w:r>
      <w:rPr>
        <w:rFonts w:hint="eastAs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8ED15D">
    <w:pPr>
      <w:pStyle w:val="26"/>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B0635E4">
                          <w:pPr>
                            <w:pStyle w:val="26"/>
                          </w:pPr>
                          <w:r>
                            <w:rPr>
                              <w:rFonts w:hint="eastAsia"/>
                            </w:rPr>
                            <w:fldChar w:fldCharType="begin"/>
                          </w:r>
                          <w:r>
                            <w:rPr>
                              <w:rFonts w:hint="eastAsia"/>
                            </w:rPr>
                            <w:instrText xml:space="preserve"> PAGE  \* MERGEFORMAT </w:instrText>
                          </w:r>
                          <w:r>
                            <w:rPr>
                              <w:rFonts w:hint="eastAsia"/>
                            </w:rPr>
                            <w:fldChar w:fldCharType="separate"/>
                          </w:r>
                          <w:r>
                            <w:rPr>
                              <w:rFonts w:hint="eastAsia"/>
                            </w:rPr>
                            <w:t>4</w:t>
                          </w:r>
                          <w:r>
                            <w:rPr>
                              <w:rFonts w:hint="eastAsia"/>
                            </w:rPr>
                            <w:fldChar w:fldCharType="end"/>
                          </w:r>
                        </w:p>
                      </w:txbxContent>
                    </wps:txbx>
                    <wps:bodyPr wrap="none" lIns="0" tIns="0" rIns="0" bIns="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hpgkvTAAAABQEAAA8AAAAAAAAAAQAgAAAAIgAAAGRycy9kb3du&#10;cmV2LnhtbFBLAQIUABQAAAAIAIdO4kDSwOOsywEAAJcDAAAOAAAAAAAAAAEAIAAAACIBAABkcnMv&#10;ZTJvRG9jLnhtbFBLBQYAAAAABgAGAFkBAABfBQAAAAA=&#10;">
              <v:fill on="f" focussize="0,0"/>
              <v:stroke on="f" weight="1.25pt"/>
              <v:imagedata o:title=""/>
              <o:lock v:ext="edit" aspectratio="f"/>
              <v:textbox inset="0mm,0mm,0mm,0mm" style="mso-fit-shape-to-text:t;">
                <w:txbxContent>
                  <w:p w14:paraId="1B0635E4">
                    <w:pPr>
                      <w:pStyle w:val="26"/>
                    </w:pPr>
                    <w:r>
                      <w:rPr>
                        <w:rFonts w:hint="eastAsia"/>
                      </w:rPr>
                      <w:fldChar w:fldCharType="begin"/>
                    </w:r>
                    <w:r>
                      <w:rPr>
                        <w:rFonts w:hint="eastAsia"/>
                      </w:rPr>
                      <w:instrText xml:space="preserve"> PAGE  \* MERGEFORMAT </w:instrText>
                    </w:r>
                    <w:r>
                      <w:rPr>
                        <w:rFonts w:hint="eastAsia"/>
                      </w:rPr>
                      <w:fldChar w:fldCharType="separate"/>
                    </w:r>
                    <w:r>
                      <w:rPr>
                        <w:rFonts w:hint="eastAsia"/>
                      </w:rPr>
                      <w:t>4</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690A3B">
    <w:pPr>
      <w:pStyle w:val="26"/>
      <w:tabs>
        <w:tab w:val="left" w:pos="5469"/>
      </w:tabs>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2F2EB05">
                          <w:pPr>
                            <w:pStyle w:val="26"/>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oaYJL0wAAAAUBAAAPAAAAAAAAAAEAIAAAACIAAABkcnMvZG93&#10;bnJldi54bWxQSwECFAAUAAAACACHTuJALI8nxMwBAACXAwAADgAAAAAAAAABACAAAAAiAQAAZHJz&#10;L2Uyb0RvYy54bWxQSwUGAAAAAAYABgBZAQAAYAUAAAAA&#10;">
              <v:fill on="f" focussize="0,0"/>
              <v:stroke on="f" weight="1.25pt"/>
              <v:imagedata o:title=""/>
              <o:lock v:ext="edit" aspectratio="f"/>
              <v:textbox inset="0mm,0mm,0mm,0mm" style="mso-fit-shape-to-text:t;">
                <w:txbxContent>
                  <w:p w14:paraId="22F2EB05">
                    <w:pPr>
                      <w:pStyle w:val="26"/>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r>
      <w:rPr>
        <w:rFonts w:hint="eastAsia"/>
      </w:rPr>
      <w:tab/>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0DF1C">
    <w:pPr>
      <w:pStyle w:val="27"/>
      <w:jc w:val="right"/>
      <w:rPr>
        <w:b/>
        <w:i/>
        <w:color w:val="FF0000"/>
        <w:u w:val="single"/>
        <w:shd w:val="pct10" w:color="auto" w:fill="FFFFFF"/>
      </w:rPr>
    </w:pPr>
    <w:r>
      <w:rPr>
        <w:rFonts w:hint="eastAsia" w:ascii="仿宋" w:hAnsi="仿宋" w:eastAsia="仿宋" w:cs="仿宋"/>
        <w:b/>
        <w:i/>
        <w:color w:val="FF0000"/>
        <w:kern w:val="0"/>
        <w:sz w:val="21"/>
        <w:szCs w:val="21"/>
      </w:rPr>
      <w:t xml:space="preserve"> </w:t>
    </w:r>
    <w:r>
      <w:rPr>
        <w:rFonts w:hint="eastAsia" w:ascii="仿宋" w:hAnsi="仿宋" w:eastAsia="仿宋" w:cs="仿宋"/>
        <w:b/>
        <w:i/>
        <w:color w:val="FF0000"/>
        <w:sz w:val="21"/>
        <w:szCs w:val="21"/>
      </w:rPr>
      <w:t>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B108B">
    <w:pPr>
      <w:pStyle w:val="27"/>
      <w:pBdr>
        <w:bottom w:val="none" w:color="auto" w:sz="0" w:space="1"/>
      </w:pBdr>
      <w:tabs>
        <w:tab w:val="left" w:pos="7632"/>
        <w:tab w:val="right" w:pos="9764"/>
      </w:tabs>
      <w:jc w:val="left"/>
      <w:rPr>
        <w:b/>
        <w:i/>
        <w:color w:val="FF0000"/>
        <w:u w:val="single"/>
        <w:shd w:val="pct10" w:color="auto" w:fill="FFFFFF"/>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7BFCBA">
    <w:pPr>
      <w:pStyle w:val="27"/>
      <w:tabs>
        <w:tab w:val="left" w:pos="7632"/>
        <w:tab w:val="right" w:pos="9764"/>
      </w:tabs>
      <w:jc w:val="right"/>
      <w:rPr>
        <w:b/>
        <w:i/>
        <w:color w:val="FF0000"/>
        <w:u w:val="single"/>
        <w:shd w:val="pct10" w:color="auto" w:fill="FFFFFF"/>
      </w:rPr>
    </w:pPr>
    <w:r>
      <w:rPr>
        <w:rFonts w:hint="eastAsia" w:ascii="仿宋" w:hAnsi="仿宋" w:eastAsia="仿宋" w:cs="仿宋"/>
        <w:b/>
        <w:i/>
        <w:color w:val="FF0000"/>
        <w:kern w:val="0"/>
        <w:sz w:val="21"/>
        <w:szCs w:val="21"/>
      </w:rPr>
      <w:tab/>
    </w:r>
    <w:r>
      <w:rPr>
        <w:rFonts w:hint="eastAsia" w:ascii="仿宋" w:hAnsi="仿宋" w:eastAsia="仿宋" w:cs="仿宋"/>
        <w:b/>
        <w:i/>
        <w:color w:val="FF0000"/>
        <w:sz w:val="21"/>
        <w:szCs w:val="21"/>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9291F9"/>
    <w:multiLevelType w:val="singleLevel"/>
    <w:tmpl w:val="8C9291F9"/>
    <w:lvl w:ilvl="0" w:tentative="0">
      <w:start w:val="1"/>
      <w:numFmt w:val="decimal"/>
      <w:pStyle w:val="12"/>
      <w:lvlText w:val="%1."/>
      <w:lvlJc w:val="left"/>
      <w:pPr>
        <w:tabs>
          <w:tab w:val="left" w:pos="360"/>
        </w:tabs>
        <w:ind w:left="360" w:hanging="360"/>
      </w:pPr>
    </w:lvl>
  </w:abstractNum>
  <w:abstractNum w:abstractNumId="1">
    <w:nsid w:val="BF23AFBC"/>
    <w:multiLevelType w:val="singleLevel"/>
    <w:tmpl w:val="BF23AFBC"/>
    <w:lvl w:ilvl="0" w:tentative="0">
      <w:start w:val="2"/>
      <w:numFmt w:val="decimal"/>
      <w:suff w:val="nothing"/>
      <w:lvlText w:val="%1、"/>
      <w:lvlJc w:val="left"/>
      <w:pPr>
        <w:ind w:left="-10"/>
      </w:pPr>
    </w:lvl>
  </w:abstractNum>
  <w:abstractNum w:abstractNumId="2">
    <w:nsid w:val="00000001"/>
    <w:multiLevelType w:val="multilevel"/>
    <w:tmpl w:val="00000001"/>
    <w:lvl w:ilvl="0" w:tentative="0">
      <w:start w:val="1"/>
      <w:numFmt w:val="decimal"/>
      <w:lvlText w:val="%1"/>
      <w:lvlJc w:val="left"/>
      <w:pPr>
        <w:tabs>
          <w:tab w:val="left" w:pos="360"/>
        </w:tabs>
        <w:ind w:left="284" w:hanging="284"/>
      </w:pPr>
      <w:rPr>
        <w:rFonts w:hint="default" w:ascii="Times New Roman" w:hAnsi="Times New Roman"/>
        <w:b/>
        <w:i w:val="0"/>
        <w:sz w:val="28"/>
      </w:rPr>
    </w:lvl>
    <w:lvl w:ilvl="1" w:tentative="0">
      <w:start w:val="1"/>
      <w:numFmt w:val="decimal"/>
      <w:lvlText w:val="%1.%2"/>
      <w:lvlJc w:val="left"/>
      <w:pPr>
        <w:tabs>
          <w:tab w:val="left" w:pos="1021"/>
        </w:tabs>
        <w:ind w:left="1021" w:hanging="596"/>
      </w:pPr>
      <w:rPr>
        <w:rFonts w:hint="default" w:ascii="Times New Roman" w:hAnsi="Times New Roman"/>
        <w:b/>
        <w:i w:val="0"/>
        <w:sz w:val="28"/>
      </w:rPr>
    </w:lvl>
    <w:lvl w:ilvl="2" w:tentative="0">
      <w:start w:val="1"/>
      <w:numFmt w:val="decimal"/>
      <w:lvlText w:val="%1.%2.%3"/>
      <w:lvlJc w:val="left"/>
      <w:pPr>
        <w:tabs>
          <w:tab w:val="left" w:pos="1588"/>
        </w:tabs>
        <w:ind w:left="1588" w:hanging="737"/>
      </w:pPr>
      <w:rPr>
        <w:rFonts w:hint="default" w:ascii="Times New Roman" w:hAnsi="Times New Roman"/>
        <w:b/>
        <w:i w:val="0"/>
        <w:sz w:val="24"/>
      </w:rPr>
    </w:lvl>
    <w:lvl w:ilvl="3" w:tentative="0">
      <w:start w:val="1"/>
      <w:numFmt w:val="decimal"/>
      <w:pStyle w:val="6"/>
      <w:lvlText w:val="%1.%2.%3.%4"/>
      <w:lvlJc w:val="left"/>
      <w:pPr>
        <w:tabs>
          <w:tab w:val="left" w:pos="2155"/>
        </w:tabs>
        <w:ind w:left="2155" w:hanging="1078"/>
      </w:pPr>
      <w:rPr>
        <w:rFonts w:hint="default" w:ascii="Arial" w:hAnsi="Arial"/>
        <w:b w:val="0"/>
        <w:i w:val="0"/>
        <w:sz w:val="24"/>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4351"/>
        </w:tabs>
        <w:ind w:left="3827" w:hanging="1276"/>
      </w:pPr>
      <w:rPr>
        <w:rFonts w:hint="eastAsia"/>
      </w:rPr>
    </w:lvl>
    <w:lvl w:ilvl="7" w:tentative="0">
      <w:start w:val="1"/>
      <w:numFmt w:val="decimal"/>
      <w:lvlText w:val="%1.%2.%3.%4.%5.%6.%7.%8"/>
      <w:lvlJc w:val="left"/>
      <w:pPr>
        <w:tabs>
          <w:tab w:val="left" w:pos="513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abstractNum w:abstractNumId="3">
    <w:nsid w:val="00000008"/>
    <w:multiLevelType w:val="multilevel"/>
    <w:tmpl w:val="00000008"/>
    <w:lvl w:ilvl="0" w:tentative="0">
      <w:start w:val="1"/>
      <w:numFmt w:val="bullet"/>
      <w:pStyle w:val="67"/>
      <w:lvlText w:val=""/>
      <w:lvlJc w:val="left"/>
      <w:pPr>
        <w:tabs>
          <w:tab w:val="left" w:pos="0"/>
        </w:tabs>
        <w:ind w:left="839" w:hanging="419"/>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4">
    <w:nsid w:val="00000009"/>
    <w:multiLevelType w:val="multilevel"/>
    <w:tmpl w:val="00000009"/>
    <w:lvl w:ilvl="0" w:tentative="0">
      <w:start w:val="1"/>
      <w:numFmt w:val="decimal"/>
      <w:lvlText w:val="%1"/>
      <w:lvlJc w:val="left"/>
      <w:pPr>
        <w:tabs>
          <w:tab w:val="left" w:pos="425"/>
        </w:tabs>
        <w:ind w:left="425" w:hanging="425"/>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8"/>
        </w:tabs>
        <w:ind w:left="1418" w:hanging="567"/>
      </w:pPr>
    </w:lvl>
    <w:lvl w:ilvl="3" w:tentative="0">
      <w:start w:val="1"/>
      <w:numFmt w:val="decimal"/>
      <w:lvlText w:val="%1.%2.%3.%4"/>
      <w:lvlJc w:val="left"/>
      <w:pPr>
        <w:tabs>
          <w:tab w:val="left" w:pos="1984"/>
        </w:tabs>
        <w:ind w:left="1984" w:hanging="708"/>
      </w:pPr>
    </w:lvl>
    <w:lvl w:ilvl="4" w:tentative="0">
      <w:start w:val="1"/>
      <w:numFmt w:val="decimal"/>
      <w:pStyle w:val="7"/>
      <w:lvlText w:val="%1.%2.%3.%4.%5"/>
      <w:lvlJc w:val="left"/>
      <w:pPr>
        <w:tabs>
          <w:tab w:val="left" w:pos="2551"/>
        </w:tabs>
        <w:ind w:left="2551" w:hanging="850"/>
      </w:pPr>
    </w:lvl>
    <w:lvl w:ilvl="5" w:tentative="0">
      <w:start w:val="1"/>
      <w:numFmt w:val="decimal"/>
      <w:pStyle w:val="8"/>
      <w:lvlText w:val="%1.%2.%3.%4.%5.%6"/>
      <w:lvlJc w:val="left"/>
      <w:pPr>
        <w:tabs>
          <w:tab w:val="left" w:pos="3260"/>
        </w:tabs>
        <w:ind w:left="3260" w:hanging="1134"/>
      </w:pPr>
    </w:lvl>
    <w:lvl w:ilvl="6" w:tentative="0">
      <w:start w:val="1"/>
      <w:numFmt w:val="decimal"/>
      <w:pStyle w:val="9"/>
      <w:lvlText w:val="%1.%2.%3.%4.%5.%6.%7"/>
      <w:lvlJc w:val="left"/>
      <w:pPr>
        <w:tabs>
          <w:tab w:val="left" w:pos="3827"/>
        </w:tabs>
        <w:ind w:left="3827" w:hanging="1276"/>
      </w:pPr>
    </w:lvl>
    <w:lvl w:ilvl="7" w:tentative="0">
      <w:start w:val="1"/>
      <w:numFmt w:val="decimal"/>
      <w:pStyle w:val="10"/>
      <w:lvlText w:val="%1.%2.%3.%4.%5.%6.%7.%8"/>
      <w:lvlJc w:val="left"/>
      <w:pPr>
        <w:tabs>
          <w:tab w:val="left" w:pos="4394"/>
        </w:tabs>
        <w:ind w:left="4394" w:hanging="1418"/>
      </w:pPr>
    </w:lvl>
    <w:lvl w:ilvl="8" w:tentative="0">
      <w:start w:val="1"/>
      <w:numFmt w:val="decimal"/>
      <w:pStyle w:val="11"/>
      <w:lvlText w:val="%1.%2.%3.%4.%5.%6.%7.%8.%9"/>
      <w:lvlJc w:val="left"/>
      <w:pPr>
        <w:tabs>
          <w:tab w:val="left" w:pos="5102"/>
        </w:tabs>
        <w:ind w:left="5102" w:hanging="1700"/>
      </w:pPr>
    </w:lvl>
  </w:abstractNum>
  <w:abstractNum w:abstractNumId="5">
    <w:nsid w:val="0000000B"/>
    <w:multiLevelType w:val="multilevel"/>
    <w:tmpl w:val="0000000B"/>
    <w:lvl w:ilvl="0" w:tentative="0">
      <w:start w:val="1"/>
      <w:numFmt w:val="decimal"/>
      <w:pStyle w:val="64"/>
      <w:lvlText w:val="%1."/>
      <w:lvlJc w:val="left"/>
      <w:pPr>
        <w:tabs>
          <w:tab w:val="left" w:pos="420"/>
        </w:tabs>
        <w:ind w:left="4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
    <w:nsid w:val="43D04771"/>
    <w:multiLevelType w:val="multilevel"/>
    <w:tmpl w:val="43D04771"/>
    <w:lvl w:ilvl="0" w:tentative="0">
      <w:start w:val="1"/>
      <w:numFmt w:val="decimal"/>
      <w:pStyle w:val="85"/>
      <w:isLgl/>
      <w:suff w:val="space"/>
      <w:lvlText w:val="第%1章"/>
      <w:lvlJc w:val="left"/>
      <w:pPr>
        <w:ind w:left="0" w:firstLine="0"/>
      </w:pPr>
      <w:rPr>
        <w:rFonts w:hint="eastAsia"/>
      </w:rPr>
    </w:lvl>
    <w:lvl w:ilvl="1" w:tentative="0">
      <w:start w:val="1"/>
      <w:numFmt w:val="decimal"/>
      <w:suff w:val="space"/>
      <w:lvlText w:val="%1.%2"/>
      <w:lvlJc w:val="left"/>
      <w:pPr>
        <w:ind w:left="0" w:firstLine="0"/>
      </w:pPr>
      <w:rPr>
        <w:rFonts w:hint="eastAsia"/>
      </w:rPr>
    </w:lvl>
    <w:lvl w:ilvl="2" w:tentative="0">
      <w:start w:val="1"/>
      <w:numFmt w:val="decimal"/>
      <w:suff w:val="space"/>
      <w:lvlText w:val="%1.%2.%3"/>
      <w:lvlJc w:val="left"/>
      <w:pPr>
        <w:ind w:left="0" w:firstLine="0"/>
      </w:pPr>
      <w:rPr>
        <w:rFonts w:hint="eastAsia"/>
      </w:rPr>
    </w:lvl>
    <w:lvl w:ilvl="3" w:tentative="0">
      <w:start w:val="1"/>
      <w:numFmt w:val="decimal"/>
      <w:pStyle w:val="86"/>
      <w:suff w:val="space"/>
      <w:lvlText w:val="%1.%2.%3.%4"/>
      <w:lvlJc w:val="left"/>
      <w:pPr>
        <w:ind w:left="0" w:firstLine="0"/>
      </w:pPr>
      <w:rPr>
        <w:rFonts w:hint="eastAsia"/>
      </w:rPr>
    </w:lvl>
    <w:lvl w:ilvl="4" w:tentative="0">
      <w:start w:val="1"/>
      <w:numFmt w:val="decimal"/>
      <w:suff w:val="space"/>
      <w:lvlText w:val="%1.%2.%3.%4.%5"/>
      <w:lvlJc w:val="left"/>
      <w:pPr>
        <w:ind w:left="0" w:firstLine="0"/>
      </w:pPr>
      <w:rPr>
        <w:rFonts w:hint="eastAsia"/>
      </w:rPr>
    </w:lvl>
    <w:lvl w:ilvl="5" w:tentative="0">
      <w:start w:val="1"/>
      <w:numFmt w:val="decimal"/>
      <w:suff w:val="space"/>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7">
    <w:nsid w:val="5DA90252"/>
    <w:multiLevelType w:val="singleLevel"/>
    <w:tmpl w:val="5DA90252"/>
    <w:lvl w:ilvl="0" w:tentative="0">
      <w:start w:val="6"/>
      <w:numFmt w:val="chineseCounting"/>
      <w:suff w:val="space"/>
      <w:lvlText w:val="第%1章"/>
      <w:lvlJc w:val="left"/>
      <w:rPr>
        <w:rFonts w:hint="eastAsia"/>
      </w:rPr>
    </w:lvl>
  </w:abstractNum>
  <w:num w:numId="1">
    <w:abstractNumId w:val="2"/>
  </w:num>
  <w:num w:numId="2">
    <w:abstractNumId w:val="4"/>
  </w:num>
  <w:num w:numId="3">
    <w:abstractNumId w:val="0"/>
  </w:num>
  <w:num w:numId="4">
    <w:abstractNumId w:val="5"/>
  </w:num>
  <w:num w:numId="5">
    <w:abstractNumId w:val="3"/>
  </w:num>
  <w:num w:numId="6">
    <w:abstractNumId w:val="6"/>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endnotePr>
    <w:endnote w:id="2"/>
    <w:endnote w:id="3"/>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E3OGE1MDNjYmFmNDM4Y2RmZjY2YzMyZGZlMmQ0ODUifQ=="/>
  </w:docVars>
  <w:rsids>
    <w:rsidRoot w:val="00172A27"/>
    <w:rsid w:val="000415F8"/>
    <w:rsid w:val="00172A27"/>
    <w:rsid w:val="0020473B"/>
    <w:rsid w:val="00253F54"/>
    <w:rsid w:val="003101DB"/>
    <w:rsid w:val="00311679"/>
    <w:rsid w:val="003D1174"/>
    <w:rsid w:val="005130B4"/>
    <w:rsid w:val="0052597F"/>
    <w:rsid w:val="00526016"/>
    <w:rsid w:val="00571A00"/>
    <w:rsid w:val="006F2435"/>
    <w:rsid w:val="00715117"/>
    <w:rsid w:val="0084748F"/>
    <w:rsid w:val="00893B5B"/>
    <w:rsid w:val="00922C6F"/>
    <w:rsid w:val="0096061B"/>
    <w:rsid w:val="00AC0346"/>
    <w:rsid w:val="00B46F88"/>
    <w:rsid w:val="00BD50B0"/>
    <w:rsid w:val="00C62865"/>
    <w:rsid w:val="00CD5C79"/>
    <w:rsid w:val="00D75758"/>
    <w:rsid w:val="00D778E3"/>
    <w:rsid w:val="00DD2636"/>
    <w:rsid w:val="00E638B6"/>
    <w:rsid w:val="00E924C7"/>
    <w:rsid w:val="00F0392D"/>
    <w:rsid w:val="01246965"/>
    <w:rsid w:val="013073E6"/>
    <w:rsid w:val="014E2D33"/>
    <w:rsid w:val="01AE350B"/>
    <w:rsid w:val="01AF5212"/>
    <w:rsid w:val="024141DC"/>
    <w:rsid w:val="0263422A"/>
    <w:rsid w:val="02946633"/>
    <w:rsid w:val="03366895"/>
    <w:rsid w:val="037B0D77"/>
    <w:rsid w:val="0460421A"/>
    <w:rsid w:val="04B42D2C"/>
    <w:rsid w:val="05081F51"/>
    <w:rsid w:val="051F2DC1"/>
    <w:rsid w:val="05645BE9"/>
    <w:rsid w:val="059E1833"/>
    <w:rsid w:val="05B3729F"/>
    <w:rsid w:val="061A0FC5"/>
    <w:rsid w:val="06432B56"/>
    <w:rsid w:val="07E071B9"/>
    <w:rsid w:val="08484E49"/>
    <w:rsid w:val="09287663"/>
    <w:rsid w:val="098947F4"/>
    <w:rsid w:val="09D436FC"/>
    <w:rsid w:val="0C5E13ED"/>
    <w:rsid w:val="0C93661A"/>
    <w:rsid w:val="0CC53777"/>
    <w:rsid w:val="0CE2549F"/>
    <w:rsid w:val="0CF912D1"/>
    <w:rsid w:val="0D4E5C31"/>
    <w:rsid w:val="0DAA6737"/>
    <w:rsid w:val="0E7F5D10"/>
    <w:rsid w:val="0F492278"/>
    <w:rsid w:val="0F772D33"/>
    <w:rsid w:val="0F9879F0"/>
    <w:rsid w:val="0F9C08F9"/>
    <w:rsid w:val="0FB35FED"/>
    <w:rsid w:val="10054A19"/>
    <w:rsid w:val="102B0A46"/>
    <w:rsid w:val="105B730A"/>
    <w:rsid w:val="111E483E"/>
    <w:rsid w:val="11C20769"/>
    <w:rsid w:val="12246164"/>
    <w:rsid w:val="123E024F"/>
    <w:rsid w:val="12490E8B"/>
    <w:rsid w:val="124B52A4"/>
    <w:rsid w:val="12AC38F3"/>
    <w:rsid w:val="12DB401D"/>
    <w:rsid w:val="1350193B"/>
    <w:rsid w:val="136460B1"/>
    <w:rsid w:val="139D220B"/>
    <w:rsid w:val="13A46379"/>
    <w:rsid w:val="142D1588"/>
    <w:rsid w:val="14547622"/>
    <w:rsid w:val="15AC7766"/>
    <w:rsid w:val="16EC086B"/>
    <w:rsid w:val="17136724"/>
    <w:rsid w:val="175B5873"/>
    <w:rsid w:val="17C27715"/>
    <w:rsid w:val="17E86D1E"/>
    <w:rsid w:val="18A55883"/>
    <w:rsid w:val="1A451550"/>
    <w:rsid w:val="1A646A81"/>
    <w:rsid w:val="1CA8280C"/>
    <w:rsid w:val="1CBF06C7"/>
    <w:rsid w:val="1CFD6E9D"/>
    <w:rsid w:val="1D05780D"/>
    <w:rsid w:val="1E4B3942"/>
    <w:rsid w:val="1E525643"/>
    <w:rsid w:val="1E651E07"/>
    <w:rsid w:val="1F7E932E"/>
    <w:rsid w:val="1FC13FC5"/>
    <w:rsid w:val="1FE11840"/>
    <w:rsid w:val="1FE9201C"/>
    <w:rsid w:val="20770582"/>
    <w:rsid w:val="20AF6E0A"/>
    <w:rsid w:val="20D62960"/>
    <w:rsid w:val="21B459DD"/>
    <w:rsid w:val="21E821D6"/>
    <w:rsid w:val="22347461"/>
    <w:rsid w:val="227853F6"/>
    <w:rsid w:val="234B5AD2"/>
    <w:rsid w:val="23DC18FD"/>
    <w:rsid w:val="243960BA"/>
    <w:rsid w:val="243E45C7"/>
    <w:rsid w:val="249828C7"/>
    <w:rsid w:val="24B22604"/>
    <w:rsid w:val="24F0116B"/>
    <w:rsid w:val="25097A81"/>
    <w:rsid w:val="253001CE"/>
    <w:rsid w:val="25780F50"/>
    <w:rsid w:val="259E274F"/>
    <w:rsid w:val="25B244ED"/>
    <w:rsid w:val="25EB788A"/>
    <w:rsid w:val="263D1056"/>
    <w:rsid w:val="266F2816"/>
    <w:rsid w:val="26AC214C"/>
    <w:rsid w:val="26B819CB"/>
    <w:rsid w:val="27BE3670"/>
    <w:rsid w:val="29A006B7"/>
    <w:rsid w:val="29FE06C0"/>
    <w:rsid w:val="2A932565"/>
    <w:rsid w:val="2AB333D2"/>
    <w:rsid w:val="2B4C175D"/>
    <w:rsid w:val="2BAF1750"/>
    <w:rsid w:val="2BF8505C"/>
    <w:rsid w:val="2D730DC8"/>
    <w:rsid w:val="2D851A3E"/>
    <w:rsid w:val="2DC55411"/>
    <w:rsid w:val="2DC930C6"/>
    <w:rsid w:val="2E262354"/>
    <w:rsid w:val="2E5642BC"/>
    <w:rsid w:val="2E5F3031"/>
    <w:rsid w:val="2ED7364E"/>
    <w:rsid w:val="2EF520E1"/>
    <w:rsid w:val="2F1D56EB"/>
    <w:rsid w:val="2F350557"/>
    <w:rsid w:val="2F43399E"/>
    <w:rsid w:val="2F776BDF"/>
    <w:rsid w:val="309E59E6"/>
    <w:rsid w:val="3159025E"/>
    <w:rsid w:val="317F533B"/>
    <w:rsid w:val="31DA13E1"/>
    <w:rsid w:val="32073E4F"/>
    <w:rsid w:val="320C1DA0"/>
    <w:rsid w:val="32587E79"/>
    <w:rsid w:val="338D1391"/>
    <w:rsid w:val="33BB4933"/>
    <w:rsid w:val="33E30E17"/>
    <w:rsid w:val="34897199"/>
    <w:rsid w:val="34B13EEE"/>
    <w:rsid w:val="34F3354C"/>
    <w:rsid w:val="34FD1B8C"/>
    <w:rsid w:val="350D486E"/>
    <w:rsid w:val="355A6D87"/>
    <w:rsid w:val="35926521"/>
    <w:rsid w:val="36216E22"/>
    <w:rsid w:val="36864244"/>
    <w:rsid w:val="36AD3978"/>
    <w:rsid w:val="37695A99"/>
    <w:rsid w:val="379B1B4A"/>
    <w:rsid w:val="37F45271"/>
    <w:rsid w:val="39036CAE"/>
    <w:rsid w:val="39AE76A2"/>
    <w:rsid w:val="3A487647"/>
    <w:rsid w:val="3A6A6B44"/>
    <w:rsid w:val="3B1B093A"/>
    <w:rsid w:val="3B73520B"/>
    <w:rsid w:val="3BBD3BCC"/>
    <w:rsid w:val="3BBE54BE"/>
    <w:rsid w:val="3BEB6DE8"/>
    <w:rsid w:val="3BFF6EC3"/>
    <w:rsid w:val="3D7A3819"/>
    <w:rsid w:val="3DDFE495"/>
    <w:rsid w:val="3EE31B01"/>
    <w:rsid w:val="3EF634C7"/>
    <w:rsid w:val="3FDC7100"/>
    <w:rsid w:val="3FFAE1D6"/>
    <w:rsid w:val="3FFD3440"/>
    <w:rsid w:val="402C3758"/>
    <w:rsid w:val="41B021B1"/>
    <w:rsid w:val="41BA3087"/>
    <w:rsid w:val="421A489E"/>
    <w:rsid w:val="425B6370"/>
    <w:rsid w:val="42AD609D"/>
    <w:rsid w:val="42F04887"/>
    <w:rsid w:val="42FF4350"/>
    <w:rsid w:val="432C73D6"/>
    <w:rsid w:val="438A6A89"/>
    <w:rsid w:val="45352021"/>
    <w:rsid w:val="45D64208"/>
    <w:rsid w:val="473532F5"/>
    <w:rsid w:val="47932A26"/>
    <w:rsid w:val="47B07814"/>
    <w:rsid w:val="47FB50C4"/>
    <w:rsid w:val="47FE6B56"/>
    <w:rsid w:val="4810061F"/>
    <w:rsid w:val="48C06D05"/>
    <w:rsid w:val="48EB61AE"/>
    <w:rsid w:val="494114F3"/>
    <w:rsid w:val="4A3F301D"/>
    <w:rsid w:val="4A657578"/>
    <w:rsid w:val="4A6F2535"/>
    <w:rsid w:val="4AC17D05"/>
    <w:rsid w:val="4B875D86"/>
    <w:rsid w:val="4C28429B"/>
    <w:rsid w:val="4CB07D08"/>
    <w:rsid w:val="4CD95EEC"/>
    <w:rsid w:val="4DE35545"/>
    <w:rsid w:val="4E914C5A"/>
    <w:rsid w:val="4EC47BDA"/>
    <w:rsid w:val="4EED3475"/>
    <w:rsid w:val="4F3D70A6"/>
    <w:rsid w:val="4F8D7309"/>
    <w:rsid w:val="4F9978C3"/>
    <w:rsid w:val="4FDD7ECB"/>
    <w:rsid w:val="50110225"/>
    <w:rsid w:val="50126A00"/>
    <w:rsid w:val="504E416E"/>
    <w:rsid w:val="508F56DF"/>
    <w:rsid w:val="50CD65E8"/>
    <w:rsid w:val="50CF0D6C"/>
    <w:rsid w:val="50FB2073"/>
    <w:rsid w:val="51135A99"/>
    <w:rsid w:val="51204589"/>
    <w:rsid w:val="51E94916"/>
    <w:rsid w:val="52926C9E"/>
    <w:rsid w:val="52C53AD8"/>
    <w:rsid w:val="53102D1D"/>
    <w:rsid w:val="53173DFD"/>
    <w:rsid w:val="53F73937"/>
    <w:rsid w:val="549326E7"/>
    <w:rsid w:val="551F2CC7"/>
    <w:rsid w:val="553E5926"/>
    <w:rsid w:val="553F5893"/>
    <w:rsid w:val="557D4954"/>
    <w:rsid w:val="55810C0E"/>
    <w:rsid w:val="55B22A4D"/>
    <w:rsid w:val="55DF4343"/>
    <w:rsid w:val="563665FD"/>
    <w:rsid w:val="567320E4"/>
    <w:rsid w:val="56B5302E"/>
    <w:rsid w:val="56E32FF4"/>
    <w:rsid w:val="56EE584E"/>
    <w:rsid w:val="572B300A"/>
    <w:rsid w:val="574D3EA1"/>
    <w:rsid w:val="581C4C66"/>
    <w:rsid w:val="585A19A8"/>
    <w:rsid w:val="58670CF0"/>
    <w:rsid w:val="58953AAF"/>
    <w:rsid w:val="58BD50A1"/>
    <w:rsid w:val="58CC67ED"/>
    <w:rsid w:val="58D216F7"/>
    <w:rsid w:val="58F777A9"/>
    <w:rsid w:val="590B3138"/>
    <w:rsid w:val="59461D88"/>
    <w:rsid w:val="59BF0804"/>
    <w:rsid w:val="5AA86512"/>
    <w:rsid w:val="5ACA6C6C"/>
    <w:rsid w:val="5AF605B0"/>
    <w:rsid w:val="5B5804FD"/>
    <w:rsid w:val="5B8068B1"/>
    <w:rsid w:val="5BDE4311"/>
    <w:rsid w:val="5BDF4DED"/>
    <w:rsid w:val="5C4A422D"/>
    <w:rsid w:val="5C73774C"/>
    <w:rsid w:val="5CB04960"/>
    <w:rsid w:val="5CCA6375"/>
    <w:rsid w:val="5CFE1DB7"/>
    <w:rsid w:val="5D1A0A26"/>
    <w:rsid w:val="5D2964E2"/>
    <w:rsid w:val="5D375134"/>
    <w:rsid w:val="5D9A56C3"/>
    <w:rsid w:val="5DA622BA"/>
    <w:rsid w:val="5DB01771"/>
    <w:rsid w:val="5E0503F5"/>
    <w:rsid w:val="5ECE17D8"/>
    <w:rsid w:val="5F13771C"/>
    <w:rsid w:val="5F245D0C"/>
    <w:rsid w:val="5F2E6A0B"/>
    <w:rsid w:val="5FB145AA"/>
    <w:rsid w:val="600D4872"/>
    <w:rsid w:val="6037369D"/>
    <w:rsid w:val="60997B45"/>
    <w:rsid w:val="609B45FE"/>
    <w:rsid w:val="612C6F7A"/>
    <w:rsid w:val="616744AD"/>
    <w:rsid w:val="61CA3CCD"/>
    <w:rsid w:val="61F26A52"/>
    <w:rsid w:val="62C05BCC"/>
    <w:rsid w:val="62FF76E0"/>
    <w:rsid w:val="63C7395B"/>
    <w:rsid w:val="63D334B4"/>
    <w:rsid w:val="64D8544F"/>
    <w:rsid w:val="64DA1364"/>
    <w:rsid w:val="653D5D2C"/>
    <w:rsid w:val="65AB59EF"/>
    <w:rsid w:val="65BD5AE3"/>
    <w:rsid w:val="65DA7999"/>
    <w:rsid w:val="68C25729"/>
    <w:rsid w:val="693C025E"/>
    <w:rsid w:val="69966816"/>
    <w:rsid w:val="6A4349D0"/>
    <w:rsid w:val="6AED63ED"/>
    <w:rsid w:val="6AF056C1"/>
    <w:rsid w:val="6B6A0DCB"/>
    <w:rsid w:val="6B957840"/>
    <w:rsid w:val="6C1C000B"/>
    <w:rsid w:val="6CF251AF"/>
    <w:rsid w:val="6D7266C4"/>
    <w:rsid w:val="6DAE233A"/>
    <w:rsid w:val="6DB0152E"/>
    <w:rsid w:val="6DDF7C74"/>
    <w:rsid w:val="6DF59BE1"/>
    <w:rsid w:val="6E4877BB"/>
    <w:rsid w:val="6EB61BB4"/>
    <w:rsid w:val="6EB63BEB"/>
    <w:rsid w:val="6EFE1C84"/>
    <w:rsid w:val="6F093748"/>
    <w:rsid w:val="701632CF"/>
    <w:rsid w:val="70754A6D"/>
    <w:rsid w:val="7080677E"/>
    <w:rsid w:val="716C7865"/>
    <w:rsid w:val="718F5296"/>
    <w:rsid w:val="71C8289D"/>
    <w:rsid w:val="71EC4EC1"/>
    <w:rsid w:val="725058F5"/>
    <w:rsid w:val="727D429A"/>
    <w:rsid w:val="72E42DE7"/>
    <w:rsid w:val="73122116"/>
    <w:rsid w:val="734E4B2E"/>
    <w:rsid w:val="73D019E7"/>
    <w:rsid w:val="747E5809"/>
    <w:rsid w:val="74D71F1A"/>
    <w:rsid w:val="76112374"/>
    <w:rsid w:val="77191711"/>
    <w:rsid w:val="774C4DDC"/>
    <w:rsid w:val="779F5360"/>
    <w:rsid w:val="77BD2282"/>
    <w:rsid w:val="781C6298"/>
    <w:rsid w:val="783F2BA1"/>
    <w:rsid w:val="787A1C1C"/>
    <w:rsid w:val="78D80C63"/>
    <w:rsid w:val="78F91AAE"/>
    <w:rsid w:val="793130A8"/>
    <w:rsid w:val="79A342AB"/>
    <w:rsid w:val="79C1737B"/>
    <w:rsid w:val="79C5249A"/>
    <w:rsid w:val="79E11ACC"/>
    <w:rsid w:val="7A1E2593"/>
    <w:rsid w:val="7A30243B"/>
    <w:rsid w:val="7AE9383F"/>
    <w:rsid w:val="7B2B01C0"/>
    <w:rsid w:val="7B607EB4"/>
    <w:rsid w:val="7B7F622A"/>
    <w:rsid w:val="7BA94FF8"/>
    <w:rsid w:val="7BD0155B"/>
    <w:rsid w:val="7BE06688"/>
    <w:rsid w:val="7C065334"/>
    <w:rsid w:val="7C283298"/>
    <w:rsid w:val="7C2876C4"/>
    <w:rsid w:val="7C2E5DB1"/>
    <w:rsid w:val="7C331D9B"/>
    <w:rsid w:val="7C5A2796"/>
    <w:rsid w:val="7C6328C5"/>
    <w:rsid w:val="7C914F02"/>
    <w:rsid w:val="7DA975E0"/>
    <w:rsid w:val="7DDB1A21"/>
    <w:rsid w:val="7DF665F1"/>
    <w:rsid w:val="7E1B6264"/>
    <w:rsid w:val="7E5B0A7C"/>
    <w:rsid w:val="7EA77065"/>
    <w:rsid w:val="7EC722ED"/>
    <w:rsid w:val="7F4A36B2"/>
    <w:rsid w:val="7F762213"/>
    <w:rsid w:val="7F800765"/>
    <w:rsid w:val="BE9F179D"/>
    <w:rsid w:val="BF1EA771"/>
    <w:rsid w:val="BFBFC8EB"/>
    <w:rsid w:val="DBDC9A0D"/>
    <w:rsid w:val="DFDF7903"/>
    <w:rsid w:val="EC738967"/>
    <w:rsid w:val="FBF26947"/>
    <w:rsid w:val="FE2F0CDD"/>
    <w:rsid w:val="FEDDAA4C"/>
    <w:rsid w:val="FF6E1CBF"/>
    <w:rsid w:val="FF9EAA56"/>
    <w:rsid w:val="FFDF4524"/>
    <w:rsid w:val="FFEECB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iPriority="39" w:semiHidden="0"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qFormat="1" w:unhideWhenUsed="0" w:uiPriority="0" w:semiHidden="0" w:name="envelope return"/>
    <w:lsdException w:qFormat="1" w:uiPriority="99" w:name="footnote reference"/>
    <w:lsdException w:uiPriority="99" w:name="annotation reference"/>
    <w:lsdException w:uiPriority="99" w:name="line number"/>
    <w:lsdException w:qFormat="1" w:unhideWhenUsed="0" w:uiPriority="0" w:semiHidden="0"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iPriority="0" w:semiHidden="0"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iPriority="99"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adjustRightInd w:val="0"/>
      <w:spacing w:before="120" w:line="360" w:lineRule="auto"/>
      <w:textAlignment w:val="baseline"/>
      <w:outlineLvl w:val="0"/>
    </w:pPr>
    <w:rPr>
      <w:rFonts w:ascii="宋体" w:hAnsi="Courier New" w:eastAsia="黑体"/>
      <w:b/>
      <w:kern w:val="44"/>
      <w:sz w:val="28"/>
    </w:rPr>
  </w:style>
  <w:style w:type="paragraph" w:styleId="4">
    <w:name w:val="heading 2"/>
    <w:basedOn w:val="1"/>
    <w:next w:val="1"/>
    <w:qFormat/>
    <w:uiPriority w:val="0"/>
    <w:pPr>
      <w:keepNext/>
      <w:adjustRightInd w:val="0"/>
      <w:spacing w:before="120" w:line="360" w:lineRule="auto"/>
      <w:textAlignment w:val="baseline"/>
      <w:outlineLvl w:val="1"/>
    </w:pPr>
    <w:rPr>
      <w:rFonts w:ascii="宋体" w:hAnsi="Courier New" w:eastAsia="黑体"/>
      <w:b/>
      <w:kern w:val="0"/>
      <w:sz w:val="28"/>
    </w:rPr>
  </w:style>
  <w:style w:type="paragraph" w:styleId="5">
    <w:name w:val="heading 3"/>
    <w:basedOn w:val="1"/>
    <w:next w:val="1"/>
    <w:qFormat/>
    <w:uiPriority w:val="0"/>
    <w:pPr>
      <w:tabs>
        <w:tab w:val="left" w:pos="900"/>
      </w:tabs>
      <w:adjustRightInd w:val="0"/>
      <w:spacing w:before="120" w:line="360" w:lineRule="auto"/>
      <w:textAlignment w:val="baseline"/>
      <w:outlineLvl w:val="2"/>
    </w:pPr>
    <w:rPr>
      <w:rFonts w:ascii="宋体" w:hAnsi="Courier New" w:eastAsia="黑体"/>
      <w:b/>
      <w:kern w:val="0"/>
      <w:sz w:val="28"/>
    </w:rPr>
  </w:style>
  <w:style w:type="paragraph" w:styleId="6">
    <w:name w:val="heading 4"/>
    <w:basedOn w:val="1"/>
    <w:next w:val="1"/>
    <w:qFormat/>
    <w:uiPriority w:val="0"/>
    <w:pPr>
      <w:numPr>
        <w:ilvl w:val="3"/>
        <w:numId w:val="1"/>
      </w:numPr>
      <w:adjustRightInd w:val="0"/>
      <w:spacing w:before="120" w:line="360" w:lineRule="auto"/>
      <w:textAlignment w:val="baseline"/>
      <w:outlineLvl w:val="3"/>
    </w:pPr>
    <w:rPr>
      <w:rFonts w:ascii="Arial" w:hAnsi="Courier New" w:eastAsia="黑体"/>
      <w:kern w:val="0"/>
      <w:sz w:val="28"/>
    </w:rPr>
  </w:style>
  <w:style w:type="paragraph" w:styleId="7">
    <w:name w:val="heading 5"/>
    <w:basedOn w:val="1"/>
    <w:next w:val="1"/>
    <w:qFormat/>
    <w:uiPriority w:val="0"/>
    <w:pPr>
      <w:keepNext/>
      <w:keepLines/>
      <w:numPr>
        <w:ilvl w:val="4"/>
        <w:numId w:val="2"/>
      </w:numPr>
      <w:spacing w:before="280" w:after="290" w:line="376" w:lineRule="auto"/>
      <w:outlineLvl w:val="4"/>
    </w:pPr>
    <w:rPr>
      <w:b/>
      <w:sz w:val="28"/>
    </w:rPr>
  </w:style>
  <w:style w:type="paragraph" w:styleId="8">
    <w:name w:val="heading 6"/>
    <w:basedOn w:val="1"/>
    <w:next w:val="1"/>
    <w:qFormat/>
    <w:uiPriority w:val="0"/>
    <w:pPr>
      <w:keepNext/>
      <w:keepLines/>
      <w:numPr>
        <w:ilvl w:val="5"/>
        <w:numId w:val="2"/>
      </w:numPr>
      <w:tabs>
        <w:tab w:val="left" w:pos="1152"/>
        <w:tab w:val="clear" w:pos="3260"/>
      </w:tabs>
      <w:spacing w:before="240" w:after="64" w:line="320" w:lineRule="auto"/>
      <w:ind w:left="1152" w:hanging="1152"/>
      <w:outlineLvl w:val="5"/>
    </w:pPr>
    <w:rPr>
      <w:rFonts w:ascii="Arial" w:hAnsi="Arial" w:eastAsia="黑体"/>
      <w:b/>
      <w:sz w:val="24"/>
    </w:rPr>
  </w:style>
  <w:style w:type="paragraph" w:styleId="9">
    <w:name w:val="heading 7"/>
    <w:basedOn w:val="1"/>
    <w:next w:val="2"/>
    <w:qFormat/>
    <w:uiPriority w:val="0"/>
    <w:pPr>
      <w:keepNext/>
      <w:keepLines/>
      <w:numPr>
        <w:ilvl w:val="6"/>
        <w:numId w:val="2"/>
      </w:numPr>
      <w:tabs>
        <w:tab w:val="left" w:pos="1296"/>
        <w:tab w:val="clear" w:pos="3827"/>
      </w:tabs>
      <w:spacing w:before="240" w:after="64" w:line="320" w:lineRule="auto"/>
      <w:ind w:left="1296" w:hanging="1296"/>
      <w:outlineLvl w:val="6"/>
    </w:pPr>
    <w:rPr>
      <w:b/>
      <w:sz w:val="24"/>
    </w:rPr>
  </w:style>
  <w:style w:type="paragraph" w:styleId="10">
    <w:name w:val="heading 8"/>
    <w:basedOn w:val="1"/>
    <w:next w:val="2"/>
    <w:qFormat/>
    <w:uiPriority w:val="0"/>
    <w:pPr>
      <w:keepNext/>
      <w:keepLines/>
      <w:numPr>
        <w:ilvl w:val="7"/>
        <w:numId w:val="2"/>
      </w:numPr>
      <w:tabs>
        <w:tab w:val="left" w:pos="1440"/>
        <w:tab w:val="clear" w:pos="4394"/>
      </w:tabs>
      <w:spacing w:before="240" w:after="64" w:line="320" w:lineRule="auto"/>
      <w:ind w:left="1440" w:hanging="1440"/>
      <w:outlineLvl w:val="7"/>
    </w:pPr>
    <w:rPr>
      <w:rFonts w:ascii="Arial" w:hAnsi="Arial" w:eastAsia="黑体"/>
      <w:sz w:val="24"/>
    </w:rPr>
  </w:style>
  <w:style w:type="paragraph" w:styleId="11">
    <w:name w:val="heading 9"/>
    <w:basedOn w:val="1"/>
    <w:next w:val="2"/>
    <w:qFormat/>
    <w:uiPriority w:val="0"/>
    <w:pPr>
      <w:keepNext/>
      <w:keepLines/>
      <w:numPr>
        <w:ilvl w:val="8"/>
        <w:numId w:val="2"/>
      </w:numPr>
      <w:tabs>
        <w:tab w:val="left" w:pos="1584"/>
        <w:tab w:val="clear" w:pos="5102"/>
      </w:tabs>
      <w:spacing w:before="240" w:after="64" w:line="320" w:lineRule="auto"/>
      <w:ind w:left="1584" w:hanging="1584"/>
      <w:outlineLvl w:val="8"/>
    </w:pPr>
    <w:rPr>
      <w:rFonts w:ascii="Arial" w:hAnsi="Arial" w:eastAsia="黑体"/>
    </w:rPr>
  </w:style>
  <w:style w:type="character" w:default="1" w:styleId="39">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pPr>
    <w:rPr>
      <w:rFonts w:ascii="方正书宋简体" w:eastAsia="方正书宋简体"/>
      <w:sz w:val="30"/>
      <w:szCs w:val="30"/>
    </w:rPr>
  </w:style>
  <w:style w:type="paragraph" w:styleId="12">
    <w:name w:val="List Number"/>
    <w:basedOn w:val="1"/>
    <w:semiHidden/>
    <w:unhideWhenUsed/>
    <w:qFormat/>
    <w:uiPriority w:val="99"/>
    <w:pPr>
      <w:numPr>
        <w:ilvl w:val="0"/>
        <w:numId w:val="3"/>
      </w:numPr>
    </w:pPr>
  </w:style>
  <w:style w:type="paragraph" w:styleId="13">
    <w:name w:val="caption"/>
    <w:basedOn w:val="1"/>
    <w:next w:val="1"/>
    <w:qFormat/>
    <w:uiPriority w:val="0"/>
    <w:pPr>
      <w:spacing w:before="120" w:after="120"/>
      <w:jc w:val="center"/>
    </w:pPr>
    <w:rPr>
      <w:rFonts w:cs="Arial"/>
    </w:rPr>
  </w:style>
  <w:style w:type="paragraph" w:styleId="14">
    <w:name w:val="Document Map"/>
    <w:basedOn w:val="1"/>
    <w:qFormat/>
    <w:uiPriority w:val="0"/>
    <w:rPr>
      <w:rFonts w:ascii="宋体"/>
      <w:sz w:val="18"/>
      <w:szCs w:val="18"/>
    </w:rPr>
  </w:style>
  <w:style w:type="paragraph" w:styleId="15">
    <w:name w:val="annotation text"/>
    <w:basedOn w:val="1"/>
    <w:qFormat/>
    <w:uiPriority w:val="0"/>
    <w:pPr>
      <w:spacing w:line="360" w:lineRule="auto"/>
      <w:ind w:firstLine="200" w:firstLineChars="200"/>
      <w:jc w:val="left"/>
    </w:pPr>
    <w:rPr>
      <w:sz w:val="24"/>
      <w:szCs w:val="24"/>
    </w:rPr>
  </w:style>
  <w:style w:type="paragraph" w:styleId="16">
    <w:name w:val="Body Text"/>
    <w:basedOn w:val="1"/>
    <w:next w:val="1"/>
    <w:qFormat/>
    <w:uiPriority w:val="0"/>
    <w:pPr>
      <w:spacing w:after="120"/>
    </w:pPr>
  </w:style>
  <w:style w:type="paragraph" w:styleId="17">
    <w:name w:val="Body Text Indent"/>
    <w:basedOn w:val="1"/>
    <w:next w:val="18"/>
    <w:qFormat/>
    <w:uiPriority w:val="0"/>
    <w:pPr>
      <w:spacing w:line="200" w:lineRule="exact"/>
      <w:ind w:firstLine="301"/>
    </w:pPr>
    <w:rPr>
      <w:rFonts w:ascii="宋体" w:hAnsi="Courier New"/>
      <w:spacing w:val="-4"/>
      <w:sz w:val="18"/>
    </w:rPr>
  </w:style>
  <w:style w:type="paragraph" w:styleId="18">
    <w:name w:val="envelope return"/>
    <w:basedOn w:val="1"/>
    <w:qFormat/>
    <w:uiPriority w:val="0"/>
    <w:pPr>
      <w:snapToGrid w:val="0"/>
    </w:pPr>
    <w:rPr>
      <w:rFonts w:ascii="Arial" w:hAnsi="Arial"/>
    </w:rPr>
  </w:style>
  <w:style w:type="paragraph" w:styleId="19">
    <w:name w:val="Block Text"/>
    <w:basedOn w:val="1"/>
    <w:next w:val="1"/>
    <w:unhideWhenUsed/>
    <w:qFormat/>
    <w:uiPriority w:val="99"/>
    <w:pPr>
      <w:spacing w:after="120"/>
      <w:ind w:left="1440" w:leftChars="700" w:right="1440" w:rightChars="700"/>
    </w:pPr>
  </w:style>
  <w:style w:type="paragraph" w:styleId="20">
    <w:name w:val="toc 3"/>
    <w:basedOn w:val="1"/>
    <w:next w:val="1"/>
    <w:qFormat/>
    <w:uiPriority w:val="0"/>
    <w:pPr>
      <w:ind w:left="420"/>
      <w:jc w:val="left"/>
    </w:pPr>
    <w:rPr>
      <w:i/>
      <w:iCs/>
      <w:sz w:val="20"/>
      <w:szCs w:val="20"/>
    </w:rPr>
  </w:style>
  <w:style w:type="paragraph" w:styleId="21">
    <w:name w:val="Plain Text"/>
    <w:basedOn w:val="1"/>
    <w:next w:val="1"/>
    <w:qFormat/>
    <w:uiPriority w:val="0"/>
    <w:rPr>
      <w:rFonts w:ascii="宋体" w:hAnsi="Courier New"/>
    </w:rPr>
  </w:style>
  <w:style w:type="paragraph" w:styleId="22">
    <w:name w:val="Date"/>
    <w:basedOn w:val="1"/>
    <w:next w:val="1"/>
    <w:qFormat/>
    <w:uiPriority w:val="0"/>
    <w:pPr>
      <w:ind w:left="100" w:leftChars="2500"/>
    </w:pPr>
  </w:style>
  <w:style w:type="paragraph" w:styleId="23">
    <w:name w:val="Body Text Indent 2"/>
    <w:basedOn w:val="1"/>
    <w:qFormat/>
    <w:uiPriority w:val="0"/>
    <w:pPr>
      <w:snapToGrid w:val="0"/>
      <w:spacing w:line="540" w:lineRule="atLeast"/>
      <w:ind w:firstLine="720"/>
    </w:pPr>
    <w:rPr>
      <w:sz w:val="28"/>
      <w:szCs w:val="28"/>
    </w:rPr>
  </w:style>
  <w:style w:type="paragraph" w:styleId="24">
    <w:name w:val="endnote text"/>
    <w:basedOn w:val="1"/>
    <w:semiHidden/>
    <w:unhideWhenUsed/>
    <w:qFormat/>
    <w:uiPriority w:val="99"/>
    <w:pPr>
      <w:snapToGrid w:val="0"/>
      <w:jc w:val="left"/>
    </w:pPr>
  </w:style>
  <w:style w:type="paragraph" w:styleId="25">
    <w:name w:val="Balloon Text"/>
    <w:basedOn w:val="1"/>
    <w:qFormat/>
    <w:uiPriority w:val="0"/>
    <w:rPr>
      <w:rFonts w:ascii="宋体" w:hAnsi="Courier New"/>
      <w:sz w:val="18"/>
      <w:szCs w:val="18"/>
    </w:rPr>
  </w:style>
  <w:style w:type="paragraph" w:styleId="26">
    <w:name w:val="footer"/>
    <w:basedOn w:val="1"/>
    <w:qFormat/>
    <w:uiPriority w:val="0"/>
    <w:pPr>
      <w:tabs>
        <w:tab w:val="center" w:pos="4153"/>
        <w:tab w:val="right" w:pos="8306"/>
      </w:tabs>
      <w:snapToGrid w:val="0"/>
      <w:jc w:val="left"/>
    </w:pPr>
    <w:rPr>
      <w:sz w:val="18"/>
    </w:rPr>
  </w:style>
  <w:style w:type="paragraph" w:styleId="27">
    <w:name w:val="header"/>
    <w:basedOn w:val="1"/>
    <w:qFormat/>
    <w:uiPriority w:val="0"/>
    <w:pPr>
      <w:pBdr>
        <w:bottom w:val="single" w:color="auto" w:sz="6" w:space="1"/>
      </w:pBdr>
      <w:tabs>
        <w:tab w:val="center" w:pos="4153"/>
        <w:tab w:val="right" w:pos="8306"/>
      </w:tabs>
      <w:snapToGrid w:val="0"/>
      <w:jc w:val="center"/>
    </w:pPr>
    <w:rPr>
      <w:sz w:val="18"/>
    </w:rPr>
  </w:style>
  <w:style w:type="paragraph" w:styleId="28">
    <w:name w:val="toc 1"/>
    <w:basedOn w:val="1"/>
    <w:next w:val="1"/>
    <w:qFormat/>
    <w:uiPriority w:val="0"/>
    <w:pPr>
      <w:spacing w:before="360"/>
    </w:pPr>
    <w:rPr>
      <w:rFonts w:ascii="Calibri Light" w:hAnsi="Calibri Light"/>
      <w:b/>
      <w:bCs/>
      <w:caps/>
      <w:sz w:val="24"/>
      <w:szCs w:val="24"/>
    </w:rPr>
  </w:style>
  <w:style w:type="paragraph" w:styleId="29">
    <w:name w:val="footnote text"/>
    <w:basedOn w:val="1"/>
    <w:semiHidden/>
    <w:unhideWhenUsed/>
    <w:qFormat/>
    <w:uiPriority w:val="99"/>
    <w:pPr>
      <w:snapToGrid w:val="0"/>
      <w:jc w:val="left"/>
    </w:pPr>
    <w:rPr>
      <w:sz w:val="18"/>
    </w:rPr>
  </w:style>
  <w:style w:type="paragraph" w:styleId="30">
    <w:name w:val="Body Text Indent 3"/>
    <w:basedOn w:val="1"/>
    <w:qFormat/>
    <w:uiPriority w:val="0"/>
    <w:pPr>
      <w:spacing w:line="400" w:lineRule="exact"/>
      <w:ind w:left="360"/>
    </w:pPr>
    <w:rPr>
      <w:sz w:val="24"/>
      <w:szCs w:val="24"/>
    </w:rPr>
  </w:style>
  <w:style w:type="paragraph" w:styleId="31">
    <w:name w:val="toc 2"/>
    <w:basedOn w:val="1"/>
    <w:next w:val="1"/>
    <w:unhideWhenUsed/>
    <w:qFormat/>
    <w:uiPriority w:val="39"/>
    <w:pPr>
      <w:ind w:left="420" w:leftChars="200"/>
    </w:pPr>
  </w:style>
  <w:style w:type="paragraph" w:styleId="32">
    <w:name w:val="Body Text 2"/>
    <w:basedOn w:val="1"/>
    <w:qFormat/>
    <w:uiPriority w:val="0"/>
    <w:rPr>
      <w:rFonts w:ascii="宋体" w:hAnsi="Courier New"/>
      <w:sz w:val="13"/>
    </w:rPr>
  </w:style>
  <w:style w:type="paragraph" w:styleId="33">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34">
    <w:name w:val="Title"/>
    <w:basedOn w:val="1"/>
    <w:next w:val="1"/>
    <w:qFormat/>
    <w:uiPriority w:val="0"/>
    <w:pPr>
      <w:spacing w:before="240" w:after="60"/>
      <w:jc w:val="center"/>
      <w:outlineLvl w:val="0"/>
    </w:pPr>
    <w:rPr>
      <w:rFonts w:ascii="Calibri Light" w:hAnsi="Calibri Light"/>
      <w:b/>
      <w:bCs/>
      <w:sz w:val="32"/>
      <w:szCs w:val="32"/>
    </w:rPr>
  </w:style>
  <w:style w:type="paragraph" w:styleId="35">
    <w:name w:val="annotation subject"/>
    <w:basedOn w:val="15"/>
    <w:next w:val="15"/>
    <w:qFormat/>
    <w:uiPriority w:val="0"/>
    <w:pPr>
      <w:spacing w:line="240" w:lineRule="auto"/>
      <w:ind w:firstLine="0" w:firstLineChars="0"/>
    </w:pPr>
    <w:rPr>
      <w:rFonts w:ascii="宋体" w:hAnsi="Courier New"/>
      <w:b/>
      <w:bCs/>
      <w:sz w:val="21"/>
      <w:szCs w:val="20"/>
    </w:rPr>
  </w:style>
  <w:style w:type="paragraph" w:styleId="36">
    <w:name w:val="Body Text First Indent 2"/>
    <w:basedOn w:val="17"/>
    <w:next w:val="19"/>
    <w:unhideWhenUsed/>
    <w:qFormat/>
    <w:uiPriority w:val="0"/>
    <w:pPr>
      <w:spacing w:line="360" w:lineRule="auto"/>
      <w:ind w:firstLine="420" w:firstLineChars="200"/>
    </w:pPr>
    <w:rPr>
      <w:sz w:val="24"/>
      <w:szCs w:val="24"/>
    </w:rPr>
  </w:style>
  <w:style w:type="table" w:styleId="38">
    <w:name w:val="Table Grid"/>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0">
    <w:name w:val="endnote reference"/>
    <w:basedOn w:val="39"/>
    <w:semiHidden/>
    <w:unhideWhenUsed/>
    <w:qFormat/>
    <w:uiPriority w:val="99"/>
    <w:rPr>
      <w:vertAlign w:val="superscript"/>
    </w:rPr>
  </w:style>
  <w:style w:type="character" w:styleId="41">
    <w:name w:val="page number"/>
    <w:basedOn w:val="39"/>
    <w:qFormat/>
    <w:uiPriority w:val="0"/>
  </w:style>
  <w:style w:type="character" w:styleId="42">
    <w:name w:val="footnote reference"/>
    <w:basedOn w:val="39"/>
    <w:semiHidden/>
    <w:unhideWhenUsed/>
    <w:qFormat/>
    <w:uiPriority w:val="99"/>
    <w:rPr>
      <w:vertAlign w:val="superscript"/>
    </w:rPr>
  </w:style>
  <w:style w:type="paragraph" w:customStyle="1" w:styleId="43">
    <w:name w:val="Default"/>
    <w:next w:val="12"/>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44">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45">
    <w:name w:val="建议书"/>
    <w:basedOn w:val="36"/>
    <w:qFormat/>
    <w:uiPriority w:val="0"/>
    <w:pPr>
      <w:spacing w:before="100" w:beforeAutospacing="1" w:after="100" w:afterAutospacing="1"/>
      <w:ind w:firstLine="480"/>
    </w:pPr>
    <w:rPr>
      <w:rFonts w:ascii="Times New Roman" w:hAnsi="Times New Roman"/>
    </w:rPr>
  </w:style>
  <w:style w:type="paragraph" w:customStyle="1" w:styleId="46">
    <w:name w:val="标书标题 3 Char"/>
    <w:basedOn w:val="1"/>
    <w:qFormat/>
    <w:uiPriority w:val="0"/>
    <w:pPr>
      <w:tabs>
        <w:tab w:val="left" w:pos="720"/>
      </w:tabs>
      <w:spacing w:line="360" w:lineRule="auto"/>
      <w:ind w:left="720" w:hanging="720"/>
      <w:outlineLvl w:val="2"/>
    </w:pPr>
    <w:rPr>
      <w:rFonts w:ascii="Arial" w:hAnsi="Arial"/>
      <w:bCs/>
      <w:sz w:val="24"/>
      <w:szCs w:val="32"/>
    </w:rPr>
  </w:style>
  <w:style w:type="paragraph" w:customStyle="1" w:styleId="47">
    <w:name w:val="三级标题"/>
    <w:basedOn w:val="1"/>
    <w:qFormat/>
    <w:uiPriority w:val="0"/>
    <w:pPr>
      <w:tabs>
        <w:tab w:val="left" w:pos="709"/>
      </w:tabs>
      <w:adjustRightInd w:val="0"/>
      <w:snapToGrid w:val="0"/>
      <w:spacing w:before="312" w:beforeLines="100" w:after="40" w:line="360" w:lineRule="auto"/>
      <w:ind w:left="709" w:hanging="709"/>
      <w:outlineLvl w:val="2"/>
    </w:pPr>
    <w:rPr>
      <w:rFonts w:eastAsia="黑体"/>
      <w:b/>
      <w:sz w:val="28"/>
    </w:rPr>
  </w:style>
  <w:style w:type="paragraph" w:customStyle="1" w:styleId="48">
    <w:name w:val="文档正文"/>
    <w:basedOn w:val="1"/>
    <w:qFormat/>
    <w:uiPriority w:val="0"/>
    <w:pPr>
      <w:adjustRightInd w:val="0"/>
      <w:spacing w:before="60" w:after="60" w:line="360" w:lineRule="atLeast"/>
      <w:ind w:firstLine="482"/>
      <w:textAlignment w:val="baseline"/>
    </w:pPr>
    <w:rPr>
      <w:sz w:val="24"/>
    </w:rPr>
  </w:style>
  <w:style w:type="paragraph" w:customStyle="1" w:styleId="49">
    <w:name w:val="表中文字"/>
    <w:basedOn w:val="1"/>
    <w:qFormat/>
    <w:uiPriority w:val="0"/>
    <w:pPr>
      <w:spacing w:line="360" w:lineRule="auto"/>
    </w:pPr>
    <w:rPr>
      <w:bCs/>
      <w:szCs w:val="24"/>
    </w:rPr>
  </w:style>
  <w:style w:type="paragraph" w:customStyle="1" w:styleId="50">
    <w:name w:val="List Paragraph1"/>
    <w:basedOn w:val="1"/>
    <w:qFormat/>
    <w:uiPriority w:val="34"/>
    <w:pPr>
      <w:ind w:firstLine="420" w:firstLineChars="200"/>
    </w:pPr>
  </w:style>
  <w:style w:type="paragraph" w:customStyle="1" w:styleId="51">
    <w:name w:val="Char2"/>
    <w:basedOn w:val="1"/>
    <w:qFormat/>
    <w:uiPriority w:val="0"/>
    <w:pPr>
      <w:widowControl/>
      <w:spacing w:line="400" w:lineRule="exact"/>
      <w:jc w:val="center"/>
    </w:pPr>
  </w:style>
  <w:style w:type="paragraph" w:customStyle="1" w:styleId="52">
    <w:name w:val="带数字排列文字项"/>
    <w:basedOn w:val="1"/>
    <w:qFormat/>
    <w:uiPriority w:val="0"/>
    <w:pPr>
      <w:tabs>
        <w:tab w:val="left" w:pos="480"/>
        <w:tab w:val="left" w:pos="840"/>
      </w:tabs>
      <w:spacing w:line="360" w:lineRule="auto"/>
      <w:ind w:left="840" w:hanging="360"/>
    </w:pPr>
    <w:rPr>
      <w:rFonts w:ascii="宋体" w:hAnsi="宋体"/>
      <w:sz w:val="24"/>
      <w:szCs w:val="24"/>
    </w:rPr>
  </w:style>
  <w:style w:type="paragraph" w:customStyle="1" w:styleId="53">
    <w:name w:val="样式 宋体 小四 行距: 1.5 倍行距1 Char"/>
    <w:basedOn w:val="1"/>
    <w:qFormat/>
    <w:uiPriority w:val="0"/>
    <w:pPr>
      <w:spacing w:line="360" w:lineRule="auto"/>
      <w:ind w:firstLine="540" w:firstLineChars="225"/>
    </w:pPr>
    <w:rPr>
      <w:rFonts w:ascii="宋体" w:hAnsi="宋体"/>
      <w:sz w:val="24"/>
      <w:szCs w:val="24"/>
    </w:rPr>
  </w:style>
  <w:style w:type="paragraph" w:customStyle="1" w:styleId="54">
    <w:name w:val="排列文字项"/>
    <w:basedOn w:val="1"/>
    <w:qFormat/>
    <w:uiPriority w:val="0"/>
    <w:pPr>
      <w:tabs>
        <w:tab w:val="left" w:pos="480"/>
        <w:tab w:val="left" w:pos="1800"/>
      </w:tabs>
      <w:spacing w:line="360" w:lineRule="auto"/>
      <w:ind w:left="1800" w:hanging="420"/>
    </w:pPr>
    <w:rPr>
      <w:sz w:val="24"/>
      <w:szCs w:val="24"/>
    </w:rPr>
  </w:style>
  <w:style w:type="paragraph" w:customStyle="1" w:styleId="55">
    <w:name w:val="_Style 29"/>
    <w:basedOn w:val="1"/>
    <w:qFormat/>
    <w:uiPriority w:val="0"/>
    <w:pPr>
      <w:tabs>
        <w:tab w:val="left" w:pos="360"/>
      </w:tabs>
    </w:pPr>
  </w:style>
  <w:style w:type="paragraph" w:customStyle="1" w:styleId="56">
    <w:name w:val="para"/>
    <w:basedOn w:val="1"/>
    <w:qFormat/>
    <w:uiPriority w:val="0"/>
    <w:pPr>
      <w:widowControl/>
      <w:adjustRightInd w:val="0"/>
      <w:spacing w:before="160" w:line="360" w:lineRule="auto"/>
      <w:ind w:firstLine="425"/>
      <w:textAlignment w:val="baseline"/>
    </w:pPr>
    <w:rPr>
      <w:rFonts w:ascii="宋体" w:hAnsi="Courier New"/>
      <w:kern w:val="0"/>
      <w:sz w:val="24"/>
      <w:lang w:eastAsia="en-US"/>
    </w:rPr>
  </w:style>
  <w:style w:type="paragraph" w:customStyle="1" w:styleId="57">
    <w:name w:val="纯文本1"/>
    <w:qFormat/>
    <w:uiPriority w:val="0"/>
    <w:rPr>
      <w:rFonts w:ascii="宋体" w:hAnsi="Courier New" w:eastAsia="宋体" w:cs="Courier New"/>
      <w:kern w:val="2"/>
      <w:sz w:val="21"/>
      <w:szCs w:val="21"/>
      <w:lang w:val="en-US" w:eastAsia="zh-CN" w:bidi="ar-SA"/>
    </w:rPr>
  </w:style>
  <w:style w:type="paragraph" w:customStyle="1" w:styleId="58">
    <w:name w:val="样式 小四 行距: 1.5 倍行距 首行缩进:  2 字符"/>
    <w:basedOn w:val="1"/>
    <w:qFormat/>
    <w:uiPriority w:val="0"/>
    <w:pPr>
      <w:spacing w:after="200" w:line="360" w:lineRule="auto"/>
      <w:ind w:firstLine="480" w:firstLineChars="200"/>
    </w:pPr>
    <w:rPr>
      <w:sz w:val="24"/>
    </w:rPr>
  </w:style>
  <w:style w:type="paragraph" w:customStyle="1" w:styleId="59">
    <w:name w:val="一级标题"/>
    <w:basedOn w:val="1"/>
    <w:qFormat/>
    <w:uiPriority w:val="0"/>
    <w:pPr>
      <w:tabs>
        <w:tab w:val="left" w:pos="425"/>
      </w:tabs>
      <w:adjustRightInd w:val="0"/>
      <w:snapToGrid w:val="0"/>
      <w:spacing w:before="468" w:beforeLines="150" w:after="40" w:line="480" w:lineRule="auto"/>
      <w:ind w:left="425" w:hanging="425"/>
      <w:outlineLvl w:val="0"/>
    </w:pPr>
    <w:rPr>
      <w:rFonts w:eastAsia="黑体"/>
      <w:b/>
      <w:sz w:val="32"/>
    </w:rPr>
  </w:style>
  <w:style w:type="paragraph" w:styleId="60">
    <w:name w:val="List Paragraph"/>
    <w:basedOn w:val="1"/>
    <w:qFormat/>
    <w:uiPriority w:val="0"/>
    <w:pPr>
      <w:widowControl/>
      <w:ind w:firstLine="420" w:firstLineChars="200"/>
      <w:jc w:val="left"/>
    </w:pPr>
    <w:rPr>
      <w:rFonts w:ascii="宋体" w:hAnsi="宋体"/>
      <w:kern w:val="0"/>
      <w:sz w:val="24"/>
      <w:szCs w:val="24"/>
    </w:rPr>
  </w:style>
  <w:style w:type="paragraph" w:customStyle="1" w:styleId="61">
    <w:name w:val="图表中文字（5号）"/>
    <w:basedOn w:val="1"/>
    <w:qFormat/>
    <w:uiPriority w:val="0"/>
    <w:rPr>
      <w:szCs w:val="24"/>
    </w:rPr>
  </w:style>
  <w:style w:type="paragraph" w:customStyle="1" w:styleId="62">
    <w:name w:val="二级标题"/>
    <w:basedOn w:val="1"/>
    <w:qFormat/>
    <w:uiPriority w:val="0"/>
    <w:pPr>
      <w:tabs>
        <w:tab w:val="left" w:pos="567"/>
      </w:tabs>
      <w:adjustRightInd w:val="0"/>
      <w:snapToGrid w:val="0"/>
      <w:spacing w:before="312" w:beforeLines="100" w:after="40" w:line="480" w:lineRule="auto"/>
      <w:ind w:left="567" w:hanging="567"/>
      <w:outlineLvl w:val="1"/>
    </w:pPr>
    <w:rPr>
      <w:rFonts w:eastAsia="黑体"/>
      <w:b/>
      <w:sz w:val="28"/>
    </w:rPr>
  </w:style>
  <w:style w:type="paragraph" w:customStyle="1" w:styleId="63">
    <w:name w:val="text"/>
    <w:basedOn w:val="1"/>
    <w:qFormat/>
    <w:uiPriority w:val="0"/>
    <w:pPr>
      <w:overflowPunct w:val="0"/>
      <w:autoSpaceDE w:val="0"/>
      <w:autoSpaceDN w:val="0"/>
      <w:adjustRightInd w:val="0"/>
      <w:spacing w:before="120" w:after="120"/>
      <w:ind w:left="864"/>
      <w:textAlignment w:val="baseline"/>
    </w:pPr>
    <w:rPr>
      <w:rFonts w:ascii="宋体"/>
      <w:spacing w:val="-14"/>
      <w:kern w:val="0"/>
      <w:sz w:val="24"/>
      <w:szCs w:val="24"/>
    </w:rPr>
  </w:style>
  <w:style w:type="paragraph" w:customStyle="1" w:styleId="64">
    <w:name w:val="MY样式(加标题)"/>
    <w:basedOn w:val="1"/>
    <w:qFormat/>
    <w:uiPriority w:val="0"/>
    <w:pPr>
      <w:numPr>
        <w:ilvl w:val="0"/>
        <w:numId w:val="4"/>
      </w:numPr>
      <w:spacing w:line="360" w:lineRule="auto"/>
      <w:ind w:firstLine="200" w:firstLineChars="200"/>
    </w:pPr>
    <w:rPr>
      <w:rFonts w:hint="eastAsia" w:ascii="宋体"/>
      <w:sz w:val="24"/>
      <w:szCs w:val="24"/>
    </w:rPr>
  </w:style>
  <w:style w:type="paragraph" w:customStyle="1" w:styleId="65">
    <w:name w:val="四级标题"/>
    <w:basedOn w:val="1"/>
    <w:qFormat/>
    <w:uiPriority w:val="0"/>
    <w:pPr>
      <w:tabs>
        <w:tab w:val="left" w:pos="851"/>
      </w:tabs>
      <w:adjustRightInd w:val="0"/>
      <w:snapToGrid w:val="0"/>
      <w:spacing w:before="156" w:beforeLines="50" w:after="40" w:line="360" w:lineRule="auto"/>
      <w:ind w:left="851" w:hanging="851"/>
      <w:outlineLvl w:val="3"/>
    </w:pPr>
    <w:rPr>
      <w:rFonts w:eastAsia="黑体"/>
      <w:b/>
      <w:sz w:val="24"/>
    </w:rPr>
  </w:style>
  <w:style w:type="paragraph" w:customStyle="1" w:styleId="66">
    <w:name w:val="图表中文字（小5号）"/>
    <w:basedOn w:val="61"/>
    <w:qFormat/>
    <w:uiPriority w:val="0"/>
    <w:rPr>
      <w:sz w:val="18"/>
    </w:rPr>
  </w:style>
  <w:style w:type="paragraph" w:customStyle="1" w:styleId="67">
    <w:name w:val="样式6 列表并列"/>
    <w:qFormat/>
    <w:uiPriority w:val="0"/>
    <w:pPr>
      <w:widowControl w:val="0"/>
      <w:numPr>
        <w:ilvl w:val="0"/>
        <w:numId w:val="5"/>
      </w:numPr>
      <w:spacing w:before="40" w:after="40" w:line="240" w:lineRule="atLeast"/>
      <w:ind w:left="840" w:hanging="420"/>
      <w:textAlignment w:val="center"/>
    </w:pPr>
    <w:rPr>
      <w:rFonts w:ascii="Arial" w:hAnsi="Arial" w:eastAsia="宋体" w:cs="Times New Roman"/>
      <w:kern w:val="21"/>
      <w:sz w:val="21"/>
      <w:szCs w:val="24"/>
      <w:lang w:val="en-US" w:eastAsia="zh-CN" w:bidi="ar-SA"/>
    </w:rPr>
  </w:style>
  <w:style w:type="character" w:customStyle="1" w:styleId="68">
    <w:name w:val="标题 11"/>
    <w:qFormat/>
    <w:uiPriority w:val="0"/>
    <w:rPr>
      <w:rFonts w:ascii="宋体" w:hAnsi="Courier New" w:eastAsia="黑体"/>
      <w:b/>
      <w:kern w:val="44"/>
      <w:sz w:val="28"/>
      <w:lang w:val="en-US" w:eastAsia="zh-CN" w:bidi="ar-SA"/>
    </w:rPr>
  </w:style>
  <w:style w:type="character" w:customStyle="1" w:styleId="69">
    <w:name w:val="font71"/>
    <w:qFormat/>
    <w:uiPriority w:val="0"/>
    <w:rPr>
      <w:rFonts w:hint="eastAsia" w:ascii="宋体" w:hAnsi="宋体" w:eastAsia="宋体" w:cs="宋体"/>
      <w:color w:val="000000"/>
      <w:sz w:val="20"/>
      <w:szCs w:val="20"/>
    </w:rPr>
  </w:style>
  <w:style w:type="character" w:customStyle="1" w:styleId="70">
    <w:name w:val="标题 1 Char Char"/>
    <w:qFormat/>
    <w:uiPriority w:val="0"/>
    <w:rPr>
      <w:rFonts w:eastAsia="宋体"/>
      <w:b/>
      <w:spacing w:val="-2"/>
      <w:sz w:val="24"/>
      <w:lang w:val="en-US" w:eastAsia="zh-CN" w:bidi="ar-SA"/>
    </w:rPr>
  </w:style>
  <w:style w:type="character" w:customStyle="1" w:styleId="71">
    <w:name w:val="font91"/>
    <w:qFormat/>
    <w:uiPriority w:val="0"/>
    <w:rPr>
      <w:rFonts w:ascii="BatangChe" w:hAnsi="BatangChe" w:eastAsia="BatangChe" w:cs="BatangChe"/>
      <w:color w:val="000000"/>
      <w:sz w:val="20"/>
      <w:szCs w:val="20"/>
      <w:u w:val="none"/>
    </w:rPr>
  </w:style>
  <w:style w:type="character" w:customStyle="1" w:styleId="72">
    <w:name w:val="题注 Char"/>
    <w:qFormat/>
    <w:uiPriority w:val="0"/>
    <w:rPr>
      <w:rFonts w:eastAsia="宋体" w:cs="Arial"/>
      <w:kern w:val="2"/>
      <w:sz w:val="21"/>
      <w:lang w:val="en-US" w:eastAsia="zh-CN" w:bidi="ar-SA"/>
    </w:rPr>
  </w:style>
  <w:style w:type="character" w:customStyle="1" w:styleId="73">
    <w:name w:val="font61"/>
    <w:qFormat/>
    <w:uiPriority w:val="0"/>
    <w:rPr>
      <w:rFonts w:hint="eastAsia" w:ascii="宋体" w:hAnsi="宋体" w:eastAsia="宋体" w:cs="宋体"/>
      <w:color w:val="000000"/>
      <w:sz w:val="20"/>
      <w:szCs w:val="20"/>
    </w:rPr>
  </w:style>
  <w:style w:type="character" w:customStyle="1" w:styleId="74">
    <w:name w:val="font31"/>
    <w:qFormat/>
    <w:uiPriority w:val="0"/>
    <w:rPr>
      <w:rFonts w:hint="eastAsia" w:ascii="宋体" w:hAnsi="宋体" w:eastAsia="宋体" w:cs="宋体"/>
      <w:color w:val="000000"/>
      <w:sz w:val="20"/>
      <w:szCs w:val="20"/>
      <w:u w:val="none"/>
      <w:vertAlign w:val="superscript"/>
    </w:rPr>
  </w:style>
  <w:style w:type="character" w:customStyle="1" w:styleId="75">
    <w:name w:val="font21"/>
    <w:qFormat/>
    <w:uiPriority w:val="0"/>
    <w:rPr>
      <w:rFonts w:hint="eastAsia" w:ascii="宋体" w:hAnsi="宋体" w:eastAsia="宋体" w:cs="宋体"/>
      <w:color w:val="FF0000"/>
      <w:sz w:val="20"/>
      <w:szCs w:val="20"/>
      <w:u w:val="none"/>
    </w:rPr>
  </w:style>
  <w:style w:type="character" w:customStyle="1" w:styleId="76">
    <w:name w:val="font11"/>
    <w:qFormat/>
    <w:uiPriority w:val="0"/>
    <w:rPr>
      <w:rFonts w:hint="eastAsia" w:ascii="宋体" w:hAnsi="宋体" w:eastAsia="宋体" w:cs="宋体"/>
      <w:color w:val="000000"/>
      <w:sz w:val="20"/>
      <w:szCs w:val="20"/>
    </w:rPr>
  </w:style>
  <w:style w:type="character" w:customStyle="1" w:styleId="77">
    <w:name w:val="页码1"/>
    <w:basedOn w:val="39"/>
    <w:qFormat/>
    <w:uiPriority w:val="0"/>
  </w:style>
  <w:style w:type="character" w:customStyle="1" w:styleId="78">
    <w:name w:val="font01"/>
    <w:qFormat/>
    <w:uiPriority w:val="0"/>
    <w:rPr>
      <w:rFonts w:hint="eastAsia" w:ascii="宋体" w:hAnsi="宋体" w:eastAsia="宋体" w:cs="宋体"/>
      <w:color w:val="000000"/>
      <w:sz w:val="20"/>
      <w:szCs w:val="20"/>
    </w:rPr>
  </w:style>
  <w:style w:type="character" w:customStyle="1" w:styleId="79">
    <w:name w:val="font51"/>
    <w:qFormat/>
    <w:uiPriority w:val="0"/>
    <w:rPr>
      <w:rFonts w:hint="eastAsia" w:ascii="宋体" w:hAnsi="宋体" w:eastAsia="宋体" w:cs="宋体"/>
      <w:color w:val="000000"/>
      <w:sz w:val="18"/>
      <w:szCs w:val="18"/>
      <w:u w:val="none"/>
    </w:rPr>
  </w:style>
  <w:style w:type="paragraph" w:customStyle="1" w:styleId="80">
    <w:name w:val="MM Topic 2"/>
    <w:basedOn w:val="4"/>
    <w:qFormat/>
    <w:uiPriority w:val="0"/>
    <w:pPr>
      <w:keepLines/>
      <w:tabs>
        <w:tab w:val="left" w:pos="720"/>
        <w:tab w:val="left" w:pos="1470"/>
        <w:tab w:val="left" w:pos="2400"/>
      </w:tabs>
      <w:adjustRightInd/>
      <w:spacing w:before="260" w:beforeLines="50" w:after="260" w:afterLines="50" w:line="240" w:lineRule="auto"/>
      <w:ind w:left="1470" w:hanging="1470"/>
      <w:jc w:val="left"/>
      <w:textAlignment w:val="auto"/>
    </w:pPr>
    <w:rPr>
      <w:rFonts w:ascii="Arial" w:hAnsi="Arial" w:eastAsia="宋体"/>
      <w:caps/>
      <w:snapToGrid w:val="0"/>
      <w:sz w:val="30"/>
      <w:szCs w:val="32"/>
    </w:rPr>
  </w:style>
  <w:style w:type="paragraph" w:customStyle="1" w:styleId="81">
    <w:name w:val="样式 标题 2 + Times New Roman 四号 非加粗 段前: 5 磅 段后: 0 磅 行距: 固定值 20..."/>
    <w:basedOn w:val="4"/>
    <w:qFormat/>
    <w:uiPriority w:val="0"/>
    <w:pPr>
      <w:spacing w:before="100" w:line="400" w:lineRule="exact"/>
    </w:pPr>
    <w:rPr>
      <w:rFonts w:ascii="Times New Roman" w:hAnsi="Times New Roman" w:cs="宋体"/>
      <w:b w:val="0"/>
    </w:rPr>
  </w:style>
  <w:style w:type="paragraph" w:customStyle="1" w:styleId="82">
    <w:name w:val="00.建设方案正文字体"/>
    <w:basedOn w:val="1"/>
    <w:qFormat/>
    <w:uiPriority w:val="0"/>
    <w:rPr>
      <w:szCs w:val="28"/>
    </w:rPr>
  </w:style>
  <w:style w:type="paragraph" w:customStyle="1" w:styleId="83">
    <w:name w:val="GS-1"/>
    <w:basedOn w:val="3"/>
    <w:next w:val="1"/>
    <w:qFormat/>
    <w:uiPriority w:val="0"/>
    <w:pPr>
      <w:snapToGrid w:val="0"/>
      <w:spacing w:before="100" w:after="100"/>
    </w:pPr>
    <w:rPr>
      <w:rFonts w:asciiTheme="minorHAnsi" w:hAnsiTheme="minorHAnsi" w:eastAsiaTheme="majorEastAsia" w:cstheme="minorBidi"/>
      <w:sz w:val="32"/>
    </w:rPr>
  </w:style>
  <w:style w:type="paragraph" w:customStyle="1" w:styleId="84">
    <w:name w:val="GS-2"/>
    <w:basedOn w:val="4"/>
    <w:next w:val="1"/>
    <w:qFormat/>
    <w:uiPriority w:val="0"/>
    <w:pPr>
      <w:snapToGrid w:val="0"/>
      <w:spacing w:before="100" w:after="100"/>
    </w:pPr>
    <w:rPr>
      <w:rFonts w:asciiTheme="majorHAnsi" w:hAnsiTheme="majorHAnsi" w:eastAsiaTheme="majorEastAsia" w:cstheme="majorBidi"/>
      <w:sz w:val="30"/>
    </w:rPr>
  </w:style>
  <w:style w:type="paragraph" w:customStyle="1" w:styleId="85">
    <w:name w:val="GS-3"/>
    <w:basedOn w:val="5"/>
    <w:next w:val="1"/>
    <w:qFormat/>
    <w:uiPriority w:val="0"/>
    <w:pPr>
      <w:numPr>
        <w:ilvl w:val="0"/>
        <w:numId w:val="6"/>
      </w:numPr>
      <w:snapToGrid w:val="0"/>
      <w:spacing w:before="100" w:after="100"/>
    </w:pPr>
    <w:rPr>
      <w:rFonts w:asciiTheme="minorHAnsi" w:hAnsiTheme="minorHAnsi" w:eastAsiaTheme="minorEastAsia" w:cstheme="minorBidi"/>
      <w:sz w:val="24"/>
    </w:rPr>
  </w:style>
  <w:style w:type="paragraph" w:customStyle="1" w:styleId="86">
    <w:name w:val="GS-4"/>
    <w:basedOn w:val="6"/>
    <w:next w:val="1"/>
    <w:qFormat/>
    <w:uiPriority w:val="0"/>
    <w:pPr>
      <w:keepNext/>
      <w:keepLines/>
      <w:numPr>
        <w:numId w:val="6"/>
      </w:numPr>
      <w:adjustRightInd/>
      <w:snapToGrid w:val="0"/>
      <w:spacing w:before="100" w:after="100"/>
    </w:pPr>
    <w:rPr>
      <w:rFonts w:asciiTheme="majorHAnsi" w:hAnsiTheme="majorHAnsi" w:eastAsiaTheme="majorEastAsia" w:cstheme="majorBidi"/>
      <w:bCs/>
      <w:kern w:val="2"/>
      <w:sz w:val="24"/>
    </w:rPr>
  </w:style>
  <w:style w:type="paragraph" w:customStyle="1" w:styleId="87">
    <w:name w:val="*正文"/>
    <w:basedOn w:val="1"/>
    <w:qFormat/>
    <w:uiPriority w:val="0"/>
    <w:pPr>
      <w:spacing w:line="360" w:lineRule="auto"/>
      <w:ind w:firstLine="200" w:firstLineChars="200"/>
    </w:pPr>
    <w:rPr>
      <w:rFonts w:ascii="宋体" w:hAnsi="宋体" w:eastAsia="仿宋" w:cstheme="minorBidi"/>
      <w:sz w:val="28"/>
      <w:szCs w:val="21"/>
    </w:rPr>
  </w:style>
  <w:style w:type="paragraph" w:customStyle="1" w:styleId="88">
    <w:name w:val="大纲正文"/>
    <w:basedOn w:val="1"/>
    <w:qFormat/>
    <w:uiPriority w:val="0"/>
    <w:pPr>
      <w:spacing w:line="360" w:lineRule="auto"/>
      <w:ind w:firstLine="480" w:firstLineChars="200"/>
    </w:pPr>
    <w:rPr>
      <w:rFonts w:cs="宋体"/>
      <w:sz w:val="24"/>
    </w:rPr>
  </w:style>
  <w:style w:type="paragraph" w:customStyle="1" w:styleId="89">
    <w:name w:val="正文模版"/>
    <w:basedOn w:val="1"/>
    <w:qFormat/>
    <w:uiPriority w:val="0"/>
    <w:pPr>
      <w:spacing w:line="360" w:lineRule="auto"/>
      <w:ind w:firstLine="480" w:firstLineChars="200"/>
    </w:pPr>
    <w:rPr>
      <w:rFonts w:cs="宋体"/>
      <w:sz w:val="24"/>
    </w:rPr>
  </w:style>
  <w:style w:type="paragraph" w:customStyle="1" w:styleId="90">
    <w:name w:val="标准正文"/>
    <w:basedOn w:val="17"/>
    <w:qFormat/>
    <w:uiPriority w:val="0"/>
    <w:pPr>
      <w:spacing w:before="60" w:after="60" w:line="360" w:lineRule="auto"/>
      <w:ind w:firstLine="482"/>
    </w:pPr>
    <w:rPr>
      <w:sz w:val="24"/>
    </w:rPr>
  </w:style>
  <w:style w:type="paragraph" w:customStyle="1" w:styleId="91">
    <w:name w:val="_Style 1"/>
    <w:basedOn w:val="1"/>
    <w:qFormat/>
    <w:uiPriority w:val="34"/>
    <w:pPr>
      <w:ind w:firstLine="420" w:firstLineChars="200"/>
    </w:pPr>
    <w:rPr>
      <w:rFonts w:ascii="等线" w:hAnsi="等线" w:eastAsia="等线"/>
      <w:szCs w:val="22"/>
    </w:rPr>
  </w:style>
  <w:style w:type="paragraph" w:customStyle="1" w:styleId="92">
    <w:name w:val="表格文字"/>
    <w:basedOn w:val="1"/>
    <w:qFormat/>
    <w:uiPriority w:val="0"/>
    <w:pPr>
      <w:spacing w:before="25" w:after="25"/>
      <w:jc w:val="left"/>
    </w:pPr>
    <w:rPr>
      <w:rFonts w:ascii="Times New Roman" w:hAnsi="Times New Roman"/>
      <w:bCs/>
      <w:spacing w:val="10"/>
    </w:rPr>
  </w:style>
  <w:style w:type="paragraph" w:customStyle="1" w:styleId="93">
    <w:name w:val="正文 New New New New New New New"/>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94">
    <w:name w:val="Other|1"/>
    <w:basedOn w:val="1"/>
    <w:qFormat/>
    <w:uiPriority w:val="0"/>
    <w:pPr>
      <w:spacing w:line="410" w:lineRule="auto"/>
      <w:ind w:firstLine="400"/>
    </w:pPr>
    <w:rPr>
      <w:rFonts w:ascii="宋体" w:hAnsi="宋体" w:eastAsia="宋体" w:cs="宋体"/>
      <w:lang w:val="zh-TW" w:eastAsia="zh-TW" w:bidi="zh-TW"/>
    </w:rPr>
  </w:style>
  <w:style w:type="paragraph" w:customStyle="1" w:styleId="95">
    <w:name w:val="Body Text First Indent 2"/>
    <w:basedOn w:val="96"/>
    <w:qFormat/>
    <w:uiPriority w:val="0"/>
    <w:pPr>
      <w:spacing w:after="120" w:afterLines="0"/>
      <w:ind w:firstLine="420" w:firstLineChars="200"/>
    </w:pPr>
  </w:style>
  <w:style w:type="paragraph" w:customStyle="1" w:styleId="96">
    <w:name w:val="Body Text Indent1"/>
    <w:basedOn w:val="1"/>
    <w:next w:val="95"/>
    <w:qFormat/>
    <w:uiPriority w:val="0"/>
    <w:pPr>
      <w:ind w:firstLine="200" w:firstLineChars="200"/>
      <w:jc w:val="left"/>
    </w:pPr>
    <w:rPr>
      <w:rFonts w:ascii="仿宋_GB2312" w:eastAsia="仿宋_GB2312"/>
      <w:sz w:val="28"/>
    </w:rPr>
  </w:style>
  <w:style w:type="paragraph" w:customStyle="1" w:styleId="97">
    <w:name w:val="p0"/>
    <w:basedOn w:val="1"/>
    <w:qFormat/>
    <w:uiPriority w:val="0"/>
    <w:pPr>
      <w:widowControl/>
    </w:pPr>
    <w:rPr>
      <w:rFonts w:ascii="Calibri" w:hAnsi="Calibri"/>
      <w:kern w:val="0"/>
      <w:szCs w:val="21"/>
    </w:rPr>
  </w:style>
  <w:style w:type="paragraph" w:customStyle="1" w:styleId="98">
    <w:name w:val="Normal Indent1"/>
    <w:basedOn w:val="1"/>
    <w:qFormat/>
    <w:uiPriority w:val="0"/>
    <w:pPr>
      <w:ind w:firstLine="420" w:firstLineChars="200"/>
    </w:pPr>
    <w:rPr>
      <w:rFonts w:ascii="Calibri" w:hAnsi="Calibri" w:eastAsia="宋体"/>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endnotes" Target="end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18257</Words>
  <Characters>18719</Characters>
  <Lines>357</Lines>
  <Paragraphs>100</Paragraphs>
  <TotalTime>48</TotalTime>
  <ScaleCrop>false</ScaleCrop>
  <LinksUpToDate>false</LinksUpToDate>
  <CharactersWithSpaces>25667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2021-05-09T20:06:00Z</dcterms:created>
  <dc:creator>hhyy</dc:creator>
  <cp:lastModifiedBy>丁怡涵</cp:lastModifiedBy>
  <cp:lastPrinted>2023-03-10T11:07:00Z</cp:lastPrinted>
  <dcterms:modified xsi:type="dcterms:W3CDTF">2024-11-26T01:00:32Z</dcterms:modified>
  <dc:title>   </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6E09B75C7BCD4A9D82666C7C3D365C22</vt:lpwstr>
  </property>
  <property fmtid="{D5CDD505-2E9C-101B-9397-08002B2CF9AE}" pid="4" name="KSOSaveFontToCloudKey">
    <vt:lpwstr>0_btnclosed</vt:lpwstr>
  </property>
</Properties>
</file>