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845" w:type="dxa"/>
        <w:tblInd w:w="0" w:type="dxa"/>
        <w:tblBorders>
          <w:top w:val="none" w:color="auto" w:sz="0" w:space="0"/>
          <w:left w:val="none" w:color="auto" w:sz="0" w:space="0"/>
          <w:bottom w:val="single" w:color="FF0000" w:sz="18"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96"/>
        <w:gridCol w:w="6814"/>
        <w:gridCol w:w="183"/>
        <w:gridCol w:w="1652"/>
      </w:tblGrid>
      <w:tr w14:paraId="416732D5">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361" w:hRule="exact"/>
        </w:trPr>
        <w:tc>
          <w:tcPr>
            <w:tcW w:w="7193" w:type="dxa"/>
            <w:gridSpan w:val="3"/>
            <w:noWrap w:val="0"/>
            <w:vAlign w:val="top"/>
          </w:tcPr>
          <w:p w14:paraId="4F94490F">
            <w:pPr>
              <w:pBdr>
                <w:top w:val="none" w:color="auto" w:sz="0" w:space="0"/>
                <w:bottom w:val="none" w:color="auto" w:sz="0" w:space="0"/>
              </w:pBdr>
              <w:rPr>
                <w:rFonts w:hint="eastAsia" w:ascii="宋体" w:hAnsi="宋体"/>
                <w:sz w:val="30"/>
                <w:szCs w:val="30"/>
              </w:rPr>
            </w:pPr>
            <w:bookmarkStart w:id="11" w:name="_GoBack"/>
            <w:bookmarkEnd w:id="11"/>
          </w:p>
        </w:tc>
        <w:tc>
          <w:tcPr>
            <w:tcW w:w="1652" w:type="dxa"/>
            <w:noWrap w:val="0"/>
            <w:vAlign w:val="top"/>
          </w:tcPr>
          <w:p w14:paraId="6A5DD533">
            <w:pPr>
              <w:pStyle w:val="12"/>
              <w:pBdr>
                <w:top w:val="none" w:color="auto" w:sz="0" w:space="0"/>
                <w:bottom w:val="none" w:color="auto" w:sz="0" w:space="0"/>
              </w:pBdr>
              <w:tabs>
                <w:tab w:val="left" w:pos="3393"/>
                <w:tab w:val="left" w:pos="3732"/>
              </w:tabs>
              <w:ind w:firstLine="3488" w:firstLineChars="1090"/>
              <w:rPr>
                <w:rFonts w:ascii="宋体" w:hAnsi="宋体"/>
              </w:rPr>
            </w:pPr>
            <w:bookmarkStart w:id="0" w:name="PrivateLevel"/>
            <w:bookmarkEnd w:id="0"/>
            <w:bookmarkStart w:id="1" w:name="PrivateTime"/>
            <w:bookmarkEnd w:id="1"/>
            <w:r>
              <w:rPr>
                <w:rFonts w:ascii="宋体" w:hAnsi="宋体"/>
              </w:rPr>
              <w:tab/>
            </w:r>
          </w:p>
          <w:p w14:paraId="29806628">
            <w:pPr>
              <w:pStyle w:val="12"/>
              <w:pBdr>
                <w:top w:val="none" w:color="auto" w:sz="0" w:space="0"/>
                <w:bottom w:val="none" w:color="auto" w:sz="0" w:space="0"/>
              </w:pBdr>
              <w:tabs>
                <w:tab w:val="left" w:pos="3732"/>
              </w:tabs>
              <w:ind w:firstLine="3488" w:firstLineChars="1090"/>
              <w:rPr>
                <w:rFonts w:ascii="宋体" w:hAnsi="宋体"/>
              </w:rPr>
            </w:pPr>
          </w:p>
        </w:tc>
      </w:tr>
      <w:tr w14:paraId="46D04BC8">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361" w:hRule="exact"/>
        </w:trPr>
        <w:tc>
          <w:tcPr>
            <w:tcW w:w="196" w:type="dxa"/>
            <w:noWrap w:val="0"/>
            <w:vAlign w:val="center"/>
          </w:tcPr>
          <w:p w14:paraId="37161798">
            <w:pPr>
              <w:pBdr>
                <w:top w:val="none" w:color="auto" w:sz="0" w:space="0"/>
                <w:bottom w:val="none" w:color="auto" w:sz="0" w:space="0"/>
              </w:pBdr>
              <w:jc w:val="distribute"/>
              <w:rPr>
                <w:rFonts w:ascii="宋体" w:hAnsi="宋体" w:eastAsia="方正小标宋简体"/>
                <w:snapToGrid w:val="0"/>
                <w:color w:val="FF0000"/>
                <w:w w:val="72"/>
                <w:kern w:val="0"/>
                <w:sz w:val="108"/>
                <w:szCs w:val="108"/>
              </w:rPr>
            </w:pPr>
            <w:bookmarkStart w:id="2" w:name="Urgent"/>
            <w:bookmarkEnd w:id="2"/>
            <w:bookmarkStart w:id="3" w:name="隐藏红头" w:colFirst="1" w:colLast="2"/>
          </w:p>
        </w:tc>
        <w:tc>
          <w:tcPr>
            <w:tcW w:w="6814" w:type="dxa"/>
            <w:vMerge w:val="restart"/>
            <w:noWrap w:val="0"/>
            <w:vAlign w:val="center"/>
          </w:tcPr>
          <w:p w14:paraId="620C4EAC">
            <w:pPr>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spacing w:after="0" w:line="1360" w:lineRule="exact"/>
              <w:jc w:val="distribute"/>
              <w:textAlignment w:val="auto"/>
              <w:rPr>
                <w:rFonts w:hint="eastAsia" w:ascii="宋体" w:hAnsi="宋体" w:eastAsia="方正小标宋简体"/>
                <w:snapToGrid w:val="0"/>
                <w:color w:val="FF0000"/>
                <w:w w:val="76"/>
                <w:kern w:val="0"/>
                <w:sz w:val="106"/>
                <w:szCs w:val="106"/>
                <w:lang w:val="en-US" w:eastAsia="zh-CN"/>
              </w:rPr>
            </w:pPr>
            <w:bookmarkStart w:id="4" w:name="FormHead"/>
            <w:r>
              <w:rPr>
                <w:rFonts w:hint="eastAsia" w:ascii="宋体" w:hAnsi="宋体" w:eastAsia="方正小标宋简体"/>
                <w:snapToGrid w:val="0"/>
                <w:color w:val="FF0000"/>
                <w:w w:val="76"/>
                <w:kern w:val="0"/>
                <w:sz w:val="106"/>
                <w:szCs w:val="106"/>
                <w:lang w:val="en-US" w:eastAsia="zh-CN"/>
              </w:rPr>
              <w:t>云南省财政厅</w:t>
            </w:r>
          </w:p>
          <w:p w14:paraId="5581C3A2">
            <w:pPr>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spacing w:after="0" w:line="1360" w:lineRule="exact"/>
              <w:jc w:val="distribute"/>
              <w:textAlignment w:val="auto"/>
              <w:rPr>
                <w:rFonts w:ascii="宋体" w:hAnsi="宋体" w:eastAsia="方正小标宋简体"/>
                <w:snapToGrid w:val="0"/>
                <w:color w:val="FF0000"/>
                <w:w w:val="76"/>
                <w:kern w:val="0"/>
                <w:sz w:val="106"/>
                <w:szCs w:val="106"/>
              </w:rPr>
            </w:pPr>
            <w:r>
              <w:rPr>
                <w:rFonts w:hint="eastAsia" w:ascii="宋体" w:hAnsi="宋体" w:eastAsia="方正小标宋简体"/>
                <w:snapToGrid w:val="0"/>
                <w:color w:val="FF0000"/>
                <w:w w:val="76"/>
                <w:kern w:val="0"/>
                <w:sz w:val="106"/>
                <w:szCs w:val="106"/>
                <w:lang w:val="en-US" w:eastAsia="zh-CN"/>
              </w:rPr>
              <w:t>云南省生态环境厅</w:t>
            </w:r>
            <w:bookmarkEnd w:id="4"/>
            <w:bookmarkStart w:id="5" w:name="表头3"/>
            <w:bookmarkEnd w:id="5"/>
          </w:p>
        </w:tc>
        <w:tc>
          <w:tcPr>
            <w:tcW w:w="1835" w:type="dxa"/>
            <w:gridSpan w:val="2"/>
            <w:vMerge w:val="restart"/>
            <w:noWrap w:val="0"/>
            <w:vAlign w:val="center"/>
          </w:tcPr>
          <w:p w14:paraId="7B3D4443">
            <w:pPr>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spacing w:after="0" w:line="1360" w:lineRule="exact"/>
              <w:ind w:right="84" w:rightChars="40"/>
              <w:jc w:val="right"/>
              <w:textAlignment w:val="auto"/>
              <w:rPr>
                <w:rFonts w:ascii="宋体" w:hAnsi="宋体" w:eastAsia="方正小标宋简体"/>
                <w:snapToGrid w:val="0"/>
                <w:color w:val="FF0000"/>
                <w:w w:val="76"/>
                <w:kern w:val="0"/>
                <w:sz w:val="106"/>
                <w:szCs w:val="106"/>
              </w:rPr>
            </w:pPr>
            <w:bookmarkStart w:id="6" w:name="repHong"/>
            <w:r>
              <w:rPr>
                <w:rFonts w:hint="eastAsia" w:ascii="宋体" w:hAnsi="宋体" w:eastAsia="方正小标宋简体"/>
                <w:snapToGrid w:val="0"/>
                <w:color w:val="FF0000"/>
                <w:w w:val="76"/>
                <w:kern w:val="0"/>
                <w:sz w:val="106"/>
                <w:szCs w:val="106"/>
              </w:rPr>
              <w:t>文件</w:t>
            </w:r>
            <w:bookmarkEnd w:id="6"/>
          </w:p>
        </w:tc>
      </w:tr>
      <w:bookmarkEnd w:id="3"/>
      <w:tr w14:paraId="624FF9B1">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386" w:hRule="exact"/>
        </w:trPr>
        <w:tc>
          <w:tcPr>
            <w:tcW w:w="196" w:type="dxa"/>
            <w:noWrap w:val="0"/>
            <w:vAlign w:val="center"/>
          </w:tcPr>
          <w:p w14:paraId="109B69DA">
            <w:pPr>
              <w:pBdr>
                <w:top w:val="none" w:color="auto" w:sz="0" w:space="0"/>
                <w:bottom w:val="none" w:color="auto" w:sz="0" w:space="0"/>
              </w:pBdr>
              <w:jc w:val="distribute"/>
              <w:rPr>
                <w:rFonts w:ascii="宋体" w:hAnsi="宋体" w:eastAsia="方正小标宋简体"/>
                <w:snapToGrid w:val="0"/>
                <w:color w:val="FF0000"/>
                <w:w w:val="72"/>
                <w:kern w:val="0"/>
                <w:sz w:val="108"/>
                <w:szCs w:val="108"/>
              </w:rPr>
            </w:pPr>
          </w:p>
        </w:tc>
        <w:tc>
          <w:tcPr>
            <w:tcW w:w="6814" w:type="dxa"/>
            <w:vMerge w:val="continue"/>
            <w:noWrap w:val="0"/>
            <w:vAlign w:val="center"/>
          </w:tcPr>
          <w:p w14:paraId="0DFB87B4">
            <w:pPr>
              <w:pBdr>
                <w:top w:val="none" w:color="auto" w:sz="0" w:space="0"/>
                <w:bottom w:val="none" w:color="auto" w:sz="0" w:space="0"/>
              </w:pBdr>
              <w:jc w:val="distribute"/>
              <w:rPr>
                <w:rFonts w:ascii="宋体" w:hAnsi="宋体" w:eastAsia="方正小标宋简体"/>
                <w:snapToGrid w:val="0"/>
                <w:color w:val="FF0000"/>
                <w:w w:val="72"/>
                <w:kern w:val="0"/>
                <w:sz w:val="108"/>
                <w:szCs w:val="108"/>
              </w:rPr>
            </w:pPr>
          </w:p>
        </w:tc>
        <w:tc>
          <w:tcPr>
            <w:tcW w:w="1835" w:type="dxa"/>
            <w:gridSpan w:val="2"/>
            <w:vMerge w:val="continue"/>
            <w:noWrap w:val="0"/>
            <w:vAlign w:val="center"/>
          </w:tcPr>
          <w:p w14:paraId="30FF5CBB">
            <w:pPr>
              <w:pBdr>
                <w:top w:val="none" w:color="auto" w:sz="0" w:space="0"/>
                <w:bottom w:val="none" w:color="auto" w:sz="0" w:space="0"/>
              </w:pBdr>
              <w:jc w:val="right"/>
              <w:rPr>
                <w:rFonts w:ascii="宋体" w:hAnsi="宋体" w:eastAsia="方正小标宋简体"/>
                <w:snapToGrid w:val="0"/>
                <w:color w:val="FF0000"/>
                <w:w w:val="80"/>
                <w:kern w:val="0"/>
                <w:sz w:val="112"/>
                <w:szCs w:val="112"/>
              </w:rPr>
            </w:pPr>
          </w:p>
        </w:tc>
      </w:tr>
      <w:tr w14:paraId="401CE78B">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850" w:hRule="exact"/>
        </w:trPr>
        <w:tc>
          <w:tcPr>
            <w:tcW w:w="8845" w:type="dxa"/>
            <w:gridSpan w:val="4"/>
            <w:noWrap w:val="0"/>
            <w:vAlign w:val="top"/>
          </w:tcPr>
          <w:p w14:paraId="1C990099">
            <w:pPr>
              <w:keepNext w:val="0"/>
              <w:keepLines w:val="0"/>
              <w:pageBreakBefore w:val="0"/>
              <w:widowControl w:val="0"/>
              <w:pBdr>
                <w:top w:val="none" w:color="auto" w:sz="0" w:space="0"/>
                <w:bottom w:val="none" w:color="auto" w:sz="0" w:space="0"/>
              </w:pBdr>
              <w:tabs>
                <w:tab w:val="left" w:pos="5291"/>
              </w:tabs>
              <w:kinsoku/>
              <w:wordWrap/>
              <w:overflowPunct/>
              <w:topLinePunct w:val="0"/>
              <w:autoSpaceDE/>
              <w:autoSpaceDN/>
              <w:bidi w:val="0"/>
              <w:spacing w:after="0"/>
              <w:jc w:val="center"/>
              <w:textAlignment w:val="auto"/>
              <w:rPr>
                <w:rFonts w:ascii="宋体" w:hAnsi="宋体"/>
              </w:rPr>
            </w:pPr>
          </w:p>
        </w:tc>
      </w:tr>
      <w:tr w14:paraId="60797F1D">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17" w:hRule="atLeast"/>
        </w:trPr>
        <w:tc>
          <w:tcPr>
            <w:tcW w:w="8845" w:type="dxa"/>
            <w:gridSpan w:val="4"/>
            <w:noWrap w:val="0"/>
            <w:vAlign w:val="bottom"/>
          </w:tcPr>
          <w:p w14:paraId="0811A357">
            <w:pPr>
              <w:keepNext w:val="0"/>
              <w:keepLines w:val="0"/>
              <w:pageBreakBefore w:val="0"/>
              <w:widowControl w:val="0"/>
              <w:pBdr>
                <w:top w:val="none" w:color="auto" w:sz="0" w:space="0"/>
                <w:bottom w:val="none" w:color="auto" w:sz="0" w:space="0"/>
              </w:pBdr>
              <w:kinsoku/>
              <w:wordWrap/>
              <w:overflowPunct/>
              <w:topLinePunct w:val="0"/>
              <w:autoSpaceDE/>
              <w:autoSpaceDN/>
              <w:bidi w:val="0"/>
              <w:spacing w:after="0"/>
              <w:jc w:val="center"/>
              <w:textAlignment w:val="auto"/>
              <w:rPr>
                <w:rFonts w:hint="eastAsia" w:ascii="宋体" w:hAnsi="宋体" w:eastAsia="仿宋_GB2312" w:cs="仿宋_GB2312"/>
                <w:sz w:val="30"/>
                <w:szCs w:val="30"/>
                <w:lang w:eastAsia="zh-CN"/>
              </w:rPr>
            </w:pPr>
            <w:r>
              <w:rPr>
                <w:rFonts w:hint="eastAsia" w:ascii="宋体" w:hAnsi="宋体" w:eastAsia="仿宋_GB2312" w:cs="仿宋_GB2312"/>
                <w:sz w:val="30"/>
                <w:szCs w:val="30"/>
                <w:lang w:eastAsia="zh-CN"/>
              </w:rPr>
              <w:t>云财规〔2025〕23号</w:t>
            </w:r>
          </w:p>
        </w:tc>
      </w:tr>
      <w:tr w14:paraId="7239A277">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3" w:hRule="exact"/>
        </w:trPr>
        <w:tc>
          <w:tcPr>
            <w:tcW w:w="8845" w:type="dxa"/>
            <w:gridSpan w:val="4"/>
            <w:noWrap w:val="0"/>
            <w:vAlign w:val="top"/>
          </w:tcPr>
          <w:p w14:paraId="64464506">
            <w:pPr>
              <w:keepNext w:val="0"/>
              <w:keepLines w:val="0"/>
              <w:pageBreakBefore w:val="0"/>
              <w:widowControl w:val="0"/>
              <w:pBdr>
                <w:top w:val="none" w:color="auto" w:sz="0" w:space="0"/>
                <w:bottom w:val="none" w:color="auto" w:sz="0" w:space="0"/>
              </w:pBdr>
              <w:kinsoku/>
              <w:wordWrap/>
              <w:overflowPunct/>
              <w:topLinePunct w:val="0"/>
              <w:autoSpaceDE/>
              <w:autoSpaceDN/>
              <w:bidi w:val="0"/>
              <w:spacing w:after="0"/>
              <w:jc w:val="center"/>
              <w:textAlignment w:val="auto"/>
              <w:rPr>
                <w:rFonts w:ascii="宋体" w:hAnsi="宋体"/>
              </w:rPr>
            </w:pPr>
          </w:p>
        </w:tc>
      </w:tr>
    </w:tbl>
    <w:p w14:paraId="28A50A00">
      <w:pPr>
        <w:keepNext w:val="0"/>
        <w:keepLines w:val="0"/>
        <w:pageBreakBefore w:val="0"/>
        <w:widowControl w:val="0"/>
        <w:pBdr>
          <w:top w:val="none" w:color="auto" w:sz="0" w:space="0"/>
          <w:bottom w:val="none" w:color="auto" w:sz="0" w:space="0"/>
        </w:pBdr>
        <w:kinsoku/>
        <w:wordWrap/>
        <w:overflowPunct/>
        <w:topLinePunct w:val="0"/>
        <w:autoSpaceDE/>
        <w:autoSpaceDN/>
        <w:bidi w:val="0"/>
        <w:spacing w:after="0"/>
        <w:textAlignment w:val="auto"/>
        <w:rPr>
          <w:rFonts w:ascii="宋体" w:hAnsi="宋体"/>
        </w:rPr>
        <w:sectPr>
          <w:footerReference r:id="rId5" w:type="default"/>
          <w:footerReference r:id="rId6" w:type="even"/>
          <w:pgSz w:w="11906" w:h="16838"/>
          <w:pgMar w:top="2098" w:right="1474" w:bottom="1984" w:left="1587" w:header="851" w:footer="1247" w:gutter="0"/>
          <w:pgBorders>
            <w:top w:val="none" w:sz="0" w:space="0"/>
            <w:left w:val="none" w:sz="0" w:space="0"/>
            <w:bottom w:val="none" w:sz="0" w:space="0"/>
            <w:right w:val="none" w:sz="0" w:space="0"/>
          </w:pgBorders>
          <w:cols w:space="720" w:num="1"/>
          <w:docGrid w:linePitch="573" w:charSpace="-1843"/>
        </w:sectPr>
      </w:pPr>
    </w:p>
    <w:p w14:paraId="7C7FC7A3">
      <w:pPr>
        <w:keepNext w:val="0"/>
        <w:keepLines w:val="0"/>
        <w:pageBreakBefore w:val="0"/>
        <w:widowControl w:val="0"/>
        <w:pBdr>
          <w:top w:val="none" w:color="auto" w:sz="0" w:space="0"/>
          <w:bottom w:val="none" w:color="auto" w:sz="0" w:space="0"/>
        </w:pBdr>
        <w:kinsoku/>
        <w:wordWrap/>
        <w:overflowPunct w:val="0"/>
        <w:topLinePunct w:val="0"/>
        <w:autoSpaceDE/>
        <w:autoSpaceDN/>
        <w:bidi w:val="0"/>
        <w:adjustRightInd/>
        <w:snapToGrid w:val="0"/>
        <w:spacing w:after="0" w:line="560" w:lineRule="exact"/>
        <w:jc w:val="center"/>
        <w:textAlignment w:val="auto"/>
        <w:rPr>
          <w:rFonts w:ascii="宋体" w:hAnsi="宋体"/>
          <w:spacing w:val="11"/>
          <w:sz w:val="40"/>
          <w:szCs w:val="40"/>
        </w:rPr>
      </w:pPr>
    </w:p>
    <w:p w14:paraId="3F3E78CC">
      <w:pPr>
        <w:keepNext w:val="0"/>
        <w:keepLines w:val="0"/>
        <w:pageBreakBefore w:val="0"/>
        <w:widowControl w:val="0"/>
        <w:pBdr>
          <w:top w:val="none" w:color="auto" w:sz="0" w:space="0"/>
          <w:bottom w:val="none" w:color="auto" w:sz="0" w:space="0"/>
        </w:pBdr>
        <w:kinsoku/>
        <w:wordWrap/>
        <w:overflowPunct w:val="0"/>
        <w:topLinePunct w:val="0"/>
        <w:autoSpaceDE/>
        <w:autoSpaceDN/>
        <w:bidi w:val="0"/>
        <w:adjustRightInd/>
        <w:snapToGrid w:val="0"/>
        <w:spacing w:after="0" w:line="460" w:lineRule="exact"/>
        <w:jc w:val="center"/>
        <w:textAlignment w:val="auto"/>
        <w:rPr>
          <w:rFonts w:hint="eastAsia" w:ascii="宋体" w:hAnsi="宋体" w:eastAsia="方正小标宋简体"/>
          <w:spacing w:val="0"/>
          <w:sz w:val="36"/>
          <w:szCs w:val="36"/>
          <w:lang w:eastAsia="zh-CN"/>
        </w:rPr>
      </w:pPr>
      <w:r>
        <w:rPr>
          <w:rFonts w:hint="eastAsia" w:ascii="宋体" w:hAnsi="宋体" w:eastAsia="方正小标宋简体"/>
          <w:spacing w:val="0"/>
          <w:sz w:val="36"/>
          <w:szCs w:val="36"/>
          <w:lang w:eastAsia="zh-CN"/>
        </w:rPr>
        <w:t>云南省财政厅 云南省生态环境厅关于印发《云南省</w:t>
      </w:r>
    </w:p>
    <w:p w14:paraId="0C20CBF8">
      <w:pPr>
        <w:keepNext w:val="0"/>
        <w:keepLines w:val="0"/>
        <w:pageBreakBefore w:val="0"/>
        <w:widowControl w:val="0"/>
        <w:pBdr>
          <w:top w:val="none" w:color="auto" w:sz="0" w:space="0"/>
          <w:bottom w:val="none" w:color="auto" w:sz="0" w:space="0"/>
        </w:pBdr>
        <w:kinsoku/>
        <w:wordWrap/>
        <w:overflowPunct w:val="0"/>
        <w:topLinePunct w:val="0"/>
        <w:autoSpaceDE/>
        <w:autoSpaceDN/>
        <w:bidi w:val="0"/>
        <w:adjustRightInd/>
        <w:snapToGrid w:val="0"/>
        <w:spacing w:after="0" w:line="460" w:lineRule="exact"/>
        <w:jc w:val="center"/>
        <w:textAlignment w:val="auto"/>
        <w:rPr>
          <w:rFonts w:hint="eastAsia" w:ascii="宋体" w:hAnsi="宋体" w:eastAsia="方正小标宋简体"/>
          <w:spacing w:val="11"/>
          <w:sz w:val="36"/>
          <w:szCs w:val="36"/>
          <w:lang w:eastAsia="zh-CN"/>
        </w:rPr>
      </w:pPr>
      <w:r>
        <w:rPr>
          <w:rFonts w:hint="eastAsia" w:ascii="宋体" w:hAnsi="宋体" w:eastAsia="方正小标宋简体"/>
          <w:spacing w:val="11"/>
          <w:sz w:val="36"/>
          <w:szCs w:val="36"/>
          <w:lang w:eastAsia="zh-CN"/>
        </w:rPr>
        <w:t>废弃电器电子产品处理专项资金管理</w:t>
      </w:r>
    </w:p>
    <w:p w14:paraId="3CF93511">
      <w:pPr>
        <w:keepNext w:val="0"/>
        <w:keepLines w:val="0"/>
        <w:pageBreakBefore w:val="0"/>
        <w:widowControl w:val="0"/>
        <w:pBdr>
          <w:top w:val="none" w:color="auto" w:sz="0" w:space="0"/>
          <w:bottom w:val="none" w:color="auto" w:sz="0" w:space="0"/>
        </w:pBdr>
        <w:kinsoku/>
        <w:wordWrap/>
        <w:overflowPunct w:val="0"/>
        <w:topLinePunct w:val="0"/>
        <w:autoSpaceDE/>
        <w:autoSpaceDN/>
        <w:bidi w:val="0"/>
        <w:adjustRightInd/>
        <w:snapToGrid w:val="0"/>
        <w:spacing w:after="0" w:line="460" w:lineRule="exact"/>
        <w:jc w:val="center"/>
        <w:textAlignment w:val="auto"/>
        <w:rPr>
          <w:rFonts w:hint="eastAsia" w:ascii="宋体" w:hAnsi="宋体" w:eastAsia="方正小标宋简体"/>
          <w:spacing w:val="11"/>
          <w:sz w:val="36"/>
          <w:szCs w:val="36"/>
          <w:lang w:eastAsia="zh-CN"/>
        </w:rPr>
      </w:pPr>
      <w:r>
        <w:rPr>
          <w:rFonts w:hint="eastAsia" w:ascii="宋体" w:hAnsi="宋体" w:eastAsia="方正小标宋简体"/>
          <w:spacing w:val="11"/>
          <w:sz w:val="36"/>
          <w:szCs w:val="36"/>
          <w:lang w:eastAsia="zh-CN"/>
        </w:rPr>
        <w:t>实施办法》（试行）的通知</w:t>
      </w:r>
    </w:p>
    <w:p w14:paraId="09F6A2B0">
      <w:pPr>
        <w:keepNext w:val="0"/>
        <w:keepLines w:val="0"/>
        <w:pageBreakBefore w:val="0"/>
        <w:widowControl w:val="0"/>
        <w:pBdr>
          <w:top w:val="none" w:color="auto" w:sz="0" w:space="0"/>
          <w:bottom w:val="none" w:color="auto" w:sz="0" w:space="0"/>
        </w:pBdr>
        <w:kinsoku/>
        <w:wordWrap/>
        <w:overflowPunct w:val="0"/>
        <w:topLinePunct w:val="0"/>
        <w:autoSpaceDE/>
        <w:autoSpaceDN/>
        <w:bidi w:val="0"/>
        <w:adjustRightInd/>
        <w:snapToGrid/>
        <w:spacing w:after="0" w:line="360" w:lineRule="exact"/>
        <w:jc w:val="center"/>
        <w:textAlignment w:val="auto"/>
        <w:rPr>
          <w:rFonts w:ascii="宋体" w:hAnsi="宋体"/>
          <w:spacing w:val="11"/>
          <w:sz w:val="40"/>
          <w:szCs w:val="40"/>
        </w:rPr>
      </w:pPr>
    </w:p>
    <w:p w14:paraId="0154235F">
      <w:pPr>
        <w:pBdr>
          <w:top w:val="none" w:color="auto" w:sz="0" w:space="0"/>
          <w:bottom w:val="none" w:color="auto" w:sz="0" w:space="0"/>
        </w:pBdr>
        <w:overflowPunct w:val="0"/>
        <w:bidi w:val="0"/>
        <w:spacing w:after="0" w:line="460" w:lineRule="exact"/>
        <w:rPr>
          <w:rFonts w:hint="eastAsia" w:ascii="宋体" w:hAnsi="宋体" w:eastAsia="仿宋_GB2312" w:cs="仿宋_GB2312"/>
          <w:color w:val="auto"/>
          <w:spacing w:val="6"/>
          <w:sz w:val="30"/>
          <w:szCs w:val="30"/>
          <w:highlight w:val="none"/>
          <w:lang w:val="en-US" w:eastAsia="zh-CN"/>
        </w:rPr>
      </w:pPr>
      <w:bookmarkStart w:id="7" w:name="正文开始"/>
      <w:bookmarkEnd w:id="7"/>
      <w:r>
        <w:rPr>
          <w:rFonts w:hint="eastAsia" w:ascii="宋体" w:hAnsi="宋体" w:eastAsia="仿宋_GB2312" w:cs="仿宋_GB2312"/>
          <w:color w:val="auto"/>
          <w:spacing w:val="6"/>
          <w:sz w:val="30"/>
          <w:szCs w:val="30"/>
          <w:highlight w:val="none"/>
          <w:lang w:val="en-US" w:eastAsia="zh-CN"/>
        </w:rPr>
        <w:t>各州（市）财政局、生态环境局，镇雄县、宣威市、腾冲市财政局、生态环境分局：</w:t>
      </w:r>
    </w:p>
    <w:p w14:paraId="10D79898">
      <w:pPr>
        <w:keepNext w:val="0"/>
        <w:keepLines w:val="0"/>
        <w:pageBreakBefore w:val="0"/>
        <w:widowControl w:val="0"/>
        <w:pBdr>
          <w:top w:val="none" w:color="auto" w:sz="0" w:space="0"/>
          <w:bottom w:val="none" w:color="auto" w:sz="0" w:space="0"/>
        </w:pBdr>
        <w:kinsoku/>
        <w:wordWrap/>
        <w:overflowPunct w:val="0"/>
        <w:topLinePunct w:val="0"/>
        <w:autoSpaceDE/>
        <w:autoSpaceDN/>
        <w:bidi w:val="0"/>
        <w:adjustRightInd/>
        <w:snapToGrid/>
        <w:spacing w:after="0" w:line="460" w:lineRule="exact"/>
        <w:ind w:firstLine="624" w:firstLineChars="200"/>
        <w:textAlignment w:val="auto"/>
        <w:rPr>
          <w:rFonts w:hint="eastAsia" w:ascii="宋体" w:hAnsi="宋体" w:eastAsia="仿宋_GB2312" w:cs="仿宋_GB2312"/>
          <w:color w:val="auto"/>
          <w:spacing w:val="6"/>
          <w:sz w:val="30"/>
          <w:szCs w:val="30"/>
          <w:highlight w:val="none"/>
          <w:lang w:val="en-US" w:eastAsia="zh-CN"/>
        </w:rPr>
      </w:pPr>
      <w:r>
        <w:rPr>
          <w:rFonts w:hint="eastAsia" w:ascii="宋体" w:hAnsi="宋体" w:eastAsia="仿宋_GB2312" w:cs="仿宋_GB2312"/>
          <w:color w:val="auto"/>
          <w:spacing w:val="6"/>
          <w:sz w:val="30"/>
          <w:szCs w:val="30"/>
          <w:highlight w:val="none"/>
          <w:lang w:val="en-US" w:eastAsia="zh-CN"/>
        </w:rPr>
        <w:t>现将《云南省废弃电器电子产品处理专项资金管理实施办法（试行）》印发你们，请遵照执行。</w:t>
      </w:r>
    </w:p>
    <w:p w14:paraId="23D99E97">
      <w:pPr>
        <w:keepNext w:val="0"/>
        <w:keepLines w:val="0"/>
        <w:pageBreakBefore w:val="0"/>
        <w:widowControl w:val="0"/>
        <w:pBdr>
          <w:top w:val="none" w:color="auto" w:sz="0" w:space="0"/>
          <w:bottom w:val="none" w:color="auto" w:sz="0" w:space="0"/>
        </w:pBdr>
        <w:kinsoku/>
        <w:wordWrap/>
        <w:overflowPunct w:val="0"/>
        <w:topLinePunct w:val="0"/>
        <w:autoSpaceDE/>
        <w:autoSpaceDN/>
        <w:bidi w:val="0"/>
        <w:adjustRightInd/>
        <w:snapToGrid/>
        <w:spacing w:after="0" w:line="566" w:lineRule="exact"/>
        <w:ind w:firstLine="0" w:firstLineChars="0"/>
        <w:textAlignment w:val="auto"/>
        <w:rPr>
          <w:rFonts w:hint="eastAsia" w:ascii="宋体" w:hAnsi="宋体" w:eastAsia="仿宋_GB2312" w:cs="仿宋_GB2312"/>
          <w:color w:val="auto"/>
          <w:spacing w:val="6"/>
          <w:sz w:val="30"/>
          <w:szCs w:val="30"/>
          <w:highlight w:val="none"/>
          <w:lang w:val="en-US" w:eastAsia="zh-CN"/>
        </w:rPr>
      </w:pPr>
    </w:p>
    <w:p w14:paraId="09B6AB0C">
      <w:pPr>
        <w:keepNext w:val="0"/>
        <w:keepLines w:val="0"/>
        <w:pageBreakBefore w:val="0"/>
        <w:widowControl w:val="0"/>
        <w:pBdr>
          <w:top w:val="none" w:color="auto" w:sz="0" w:space="0"/>
          <w:bottom w:val="none" w:color="auto" w:sz="0" w:space="0"/>
        </w:pBdr>
        <w:kinsoku/>
        <w:wordWrap/>
        <w:overflowPunct w:val="0"/>
        <w:topLinePunct w:val="0"/>
        <w:autoSpaceDE/>
        <w:autoSpaceDN/>
        <w:bidi w:val="0"/>
        <w:adjustRightInd/>
        <w:snapToGrid/>
        <w:spacing w:after="0" w:line="566" w:lineRule="exact"/>
        <w:ind w:firstLine="0" w:firstLineChars="0"/>
        <w:textAlignment w:val="auto"/>
        <w:rPr>
          <w:rFonts w:hint="eastAsia" w:ascii="宋体" w:hAnsi="宋体" w:eastAsia="仿宋_GB2312" w:cs="仿宋_GB2312"/>
          <w:color w:val="auto"/>
          <w:spacing w:val="6"/>
          <w:sz w:val="30"/>
          <w:szCs w:val="30"/>
          <w:highlight w:val="none"/>
          <w:lang w:val="en-US" w:eastAsia="zh-CN"/>
        </w:rPr>
      </w:pPr>
    </w:p>
    <w:p w14:paraId="1D1920B2">
      <w:pPr>
        <w:keepNext w:val="0"/>
        <w:keepLines w:val="0"/>
        <w:pageBreakBefore w:val="0"/>
        <w:widowControl w:val="0"/>
        <w:pBdr>
          <w:top w:val="none" w:color="auto" w:sz="0" w:space="0"/>
          <w:bottom w:val="none" w:color="auto" w:sz="0" w:space="0"/>
        </w:pBdr>
        <w:kinsoku/>
        <w:wordWrap/>
        <w:overflowPunct w:val="0"/>
        <w:topLinePunct w:val="0"/>
        <w:autoSpaceDE/>
        <w:autoSpaceDN/>
        <w:bidi w:val="0"/>
        <w:adjustRightInd/>
        <w:snapToGrid/>
        <w:spacing w:after="0" w:line="566" w:lineRule="exact"/>
        <w:ind w:firstLine="0" w:firstLineChars="0"/>
        <w:textAlignment w:val="auto"/>
        <w:rPr>
          <w:rFonts w:hint="eastAsia" w:ascii="宋体" w:hAnsi="宋体" w:eastAsia="仿宋_GB2312" w:cs="仿宋_GB2312"/>
          <w:color w:val="auto"/>
          <w:spacing w:val="6"/>
          <w:sz w:val="30"/>
          <w:szCs w:val="30"/>
          <w:highlight w:val="none"/>
          <w:lang w:val="en-US" w:eastAsia="zh-CN"/>
        </w:rPr>
      </w:pPr>
    </w:p>
    <w:p w14:paraId="21D2AB97">
      <w:pPr>
        <w:keepNext w:val="0"/>
        <w:keepLines w:val="0"/>
        <w:pageBreakBefore w:val="0"/>
        <w:widowControl w:val="0"/>
        <w:pBdr>
          <w:top w:val="none" w:color="auto" w:sz="0" w:space="0"/>
          <w:bottom w:val="none" w:color="auto" w:sz="0" w:space="0"/>
        </w:pBdr>
        <w:kinsoku/>
        <w:wordWrap/>
        <w:overflowPunct w:val="0"/>
        <w:topLinePunct w:val="0"/>
        <w:autoSpaceDE/>
        <w:autoSpaceDN/>
        <w:bidi w:val="0"/>
        <w:adjustRightInd/>
        <w:snapToGrid/>
        <w:spacing w:after="0" w:line="460" w:lineRule="exact"/>
        <w:ind w:firstLine="1326" w:firstLineChars="425"/>
        <w:jc w:val="both"/>
        <w:textAlignment w:val="auto"/>
        <w:rPr>
          <w:rFonts w:hint="eastAsia" w:ascii="宋体" w:hAnsi="宋体" w:eastAsia="仿宋_GB2312" w:cs="仿宋_GB2312"/>
          <w:color w:val="auto"/>
          <w:spacing w:val="6"/>
          <w:sz w:val="30"/>
          <w:szCs w:val="30"/>
          <w:highlight w:val="none"/>
          <w:lang w:val="en-US" w:eastAsia="zh-CN"/>
        </w:rPr>
      </w:pPr>
      <w:r>
        <w:rPr>
          <w:rFonts w:hint="eastAsia" w:ascii="宋体" w:hAnsi="宋体" w:eastAsia="仿宋_GB2312" w:cs="仿宋_GB2312"/>
          <w:color w:val="auto"/>
          <w:spacing w:val="6"/>
          <w:sz w:val="30"/>
          <w:szCs w:val="30"/>
          <w:highlight w:val="none"/>
          <w:lang w:val="en-US" w:eastAsia="zh-CN"/>
        </w:rPr>
        <w:t>云南省财政厅            云南省生态环境厅</w:t>
      </w:r>
    </w:p>
    <w:p w14:paraId="3875C2B5">
      <w:pPr>
        <w:keepNext w:val="0"/>
        <w:keepLines w:val="0"/>
        <w:pageBreakBefore w:val="0"/>
        <w:widowControl w:val="0"/>
        <w:pBdr>
          <w:top w:val="none" w:color="auto" w:sz="0" w:space="0"/>
          <w:bottom w:val="none" w:color="auto" w:sz="0" w:space="0"/>
        </w:pBdr>
        <w:kinsoku/>
        <w:wordWrap/>
        <w:overflowPunct w:val="0"/>
        <w:topLinePunct w:val="0"/>
        <w:autoSpaceDE/>
        <w:autoSpaceDN/>
        <w:bidi w:val="0"/>
        <w:adjustRightInd/>
        <w:snapToGrid/>
        <w:spacing w:after="0" w:line="460" w:lineRule="exact"/>
        <w:ind w:firstLine="5113" w:firstLineChars="1639"/>
        <w:jc w:val="both"/>
        <w:textAlignment w:val="auto"/>
        <w:rPr>
          <w:rFonts w:hint="eastAsia" w:ascii="宋体" w:hAnsi="宋体" w:eastAsia="仿宋_GB2312" w:cs="仿宋_GB2312"/>
          <w:color w:val="auto"/>
          <w:spacing w:val="6"/>
          <w:sz w:val="30"/>
          <w:szCs w:val="30"/>
          <w:highlight w:val="none"/>
          <w:lang w:val="en-US" w:eastAsia="zh-CN"/>
        </w:rPr>
      </w:pPr>
      <w:r>
        <w:rPr>
          <w:rFonts w:hint="eastAsia" w:ascii="宋体" w:hAnsi="宋体" w:eastAsia="仿宋_GB2312" w:cs="仿宋_GB2312"/>
          <w:color w:val="auto"/>
          <w:spacing w:val="6"/>
          <w:sz w:val="30"/>
          <w:szCs w:val="30"/>
          <w:highlight w:val="none"/>
          <w:lang w:val="en-US" w:eastAsia="zh-CN"/>
        </w:rPr>
        <w:t>2025年12月29日</w:t>
      </w:r>
    </w:p>
    <w:p w14:paraId="6F265D11">
      <w:pPr>
        <w:keepNext w:val="0"/>
        <w:keepLines w:val="0"/>
        <w:pageBreakBefore w:val="0"/>
        <w:widowControl w:val="0"/>
        <w:pBdr>
          <w:top w:val="none" w:color="auto" w:sz="0" w:space="0"/>
          <w:bottom w:val="none" w:color="auto" w:sz="0" w:space="0"/>
        </w:pBdr>
        <w:kinsoku/>
        <w:wordWrap/>
        <w:overflowPunct w:val="0"/>
        <w:topLinePunct w:val="0"/>
        <w:autoSpaceDE/>
        <w:autoSpaceDN/>
        <w:bidi w:val="0"/>
        <w:adjustRightInd/>
        <w:snapToGrid w:val="0"/>
        <w:spacing w:after="0" w:line="460" w:lineRule="exact"/>
        <w:ind w:firstLine="624" w:firstLineChars="200"/>
        <w:jc w:val="both"/>
        <w:textAlignment w:val="auto"/>
        <w:rPr>
          <w:rFonts w:hint="eastAsia" w:ascii="宋体" w:hAnsi="宋体" w:eastAsia="仿宋_GB2312" w:cs="仿宋_GB2312"/>
          <w:color w:val="auto"/>
          <w:spacing w:val="6"/>
          <w:sz w:val="30"/>
          <w:szCs w:val="30"/>
        </w:rPr>
      </w:pPr>
      <w:r>
        <w:rPr>
          <w:rFonts w:hint="eastAsia" w:ascii="宋体" w:hAnsi="宋体" w:eastAsia="仿宋_GB2312" w:cs="仿宋_GB2312"/>
          <w:color w:val="auto"/>
          <w:spacing w:val="6"/>
          <w:sz w:val="30"/>
          <w:szCs w:val="30"/>
          <w:lang w:val="en-US" w:eastAsia="zh-CN"/>
        </w:rPr>
        <w:t>（此件公开发布）</w:t>
      </w:r>
    </w:p>
    <w:p w14:paraId="36C96910">
      <w:pPr>
        <w:keepNext w:val="0"/>
        <w:keepLines w:val="0"/>
        <w:pageBreakBefore w:val="0"/>
        <w:widowControl w:val="0"/>
        <w:pBdr>
          <w:top w:val="none" w:color="auto" w:sz="0" w:space="0"/>
          <w:bottom w:val="none" w:color="auto" w:sz="0" w:space="0"/>
        </w:pBdr>
        <w:kinsoku/>
        <w:wordWrap/>
        <w:overflowPunct w:val="0"/>
        <w:topLinePunct w:val="0"/>
        <w:autoSpaceDE/>
        <w:autoSpaceDN/>
        <w:bidi w:val="0"/>
        <w:adjustRightInd/>
        <w:snapToGrid/>
        <w:spacing w:after="0" w:line="579" w:lineRule="exact"/>
        <w:jc w:val="center"/>
        <w:textAlignment w:val="auto"/>
        <w:rPr>
          <w:rFonts w:hint="eastAsia" w:ascii="宋体" w:hAnsi="宋体" w:eastAsia="方正小标宋简体" w:cs="方正小标宋简体"/>
          <w:spacing w:val="11"/>
          <w:sz w:val="30"/>
          <w:szCs w:val="30"/>
          <w:highlight w:val="none"/>
          <w:lang w:val="en-US" w:eastAsia="zh-CN"/>
        </w:rPr>
      </w:pPr>
    </w:p>
    <w:p w14:paraId="55D568F8">
      <w:pPr>
        <w:keepNext w:val="0"/>
        <w:keepLines w:val="0"/>
        <w:pageBreakBefore w:val="0"/>
        <w:widowControl w:val="0"/>
        <w:pBdr>
          <w:top w:val="none" w:color="auto" w:sz="0" w:space="0"/>
          <w:bottom w:val="none" w:color="auto" w:sz="0" w:space="0"/>
        </w:pBdr>
        <w:kinsoku/>
        <w:wordWrap/>
        <w:overflowPunct w:val="0"/>
        <w:topLinePunct w:val="0"/>
        <w:autoSpaceDE/>
        <w:autoSpaceDN/>
        <w:bidi w:val="0"/>
        <w:adjustRightInd/>
        <w:snapToGrid/>
        <w:spacing w:after="0" w:line="579" w:lineRule="exact"/>
        <w:ind w:left="0"/>
        <w:jc w:val="center"/>
        <w:textAlignment w:val="auto"/>
        <w:rPr>
          <w:rFonts w:hint="eastAsia" w:ascii="宋体" w:hAnsi="宋体" w:eastAsia="方正小标宋简体" w:cs="方正小标宋简体"/>
          <w:color w:val="auto"/>
          <w:spacing w:val="11"/>
          <w:sz w:val="36"/>
          <w:szCs w:val="36"/>
          <w:highlight w:val="none"/>
        </w:rPr>
      </w:pPr>
      <w:r>
        <w:rPr>
          <w:rFonts w:hint="eastAsia" w:ascii="宋体" w:hAnsi="宋体" w:eastAsia="方正小标宋简体" w:cs="方正小标宋简体"/>
          <w:color w:val="auto"/>
          <w:spacing w:val="11"/>
          <w:sz w:val="36"/>
          <w:szCs w:val="36"/>
          <w:highlight w:val="none"/>
        </w:rPr>
        <w:t>云南省废弃电器电子产品处理专项资金</w:t>
      </w:r>
    </w:p>
    <w:p w14:paraId="4D0E244D">
      <w:pPr>
        <w:keepNext w:val="0"/>
        <w:keepLines w:val="0"/>
        <w:pageBreakBefore w:val="0"/>
        <w:widowControl w:val="0"/>
        <w:pBdr>
          <w:top w:val="none" w:color="auto" w:sz="0" w:space="0"/>
          <w:bottom w:val="none" w:color="auto" w:sz="0" w:space="0"/>
        </w:pBdr>
        <w:kinsoku/>
        <w:wordWrap/>
        <w:overflowPunct w:val="0"/>
        <w:topLinePunct w:val="0"/>
        <w:autoSpaceDE/>
        <w:autoSpaceDN/>
        <w:bidi w:val="0"/>
        <w:adjustRightInd/>
        <w:snapToGrid/>
        <w:spacing w:after="0" w:line="579" w:lineRule="exact"/>
        <w:ind w:left="0"/>
        <w:jc w:val="center"/>
        <w:textAlignment w:val="auto"/>
        <w:rPr>
          <w:rFonts w:hint="eastAsia" w:ascii="宋体" w:hAnsi="宋体" w:eastAsia="方正小标宋简体" w:cs="方正小标宋简体"/>
          <w:color w:val="auto"/>
          <w:spacing w:val="11"/>
          <w:sz w:val="36"/>
          <w:szCs w:val="36"/>
          <w:highlight w:val="none"/>
          <w:lang w:eastAsia="zh-CN"/>
        </w:rPr>
      </w:pPr>
      <w:r>
        <w:rPr>
          <w:rFonts w:hint="eastAsia" w:ascii="宋体" w:hAnsi="宋体" w:eastAsia="方正小标宋简体" w:cs="方正小标宋简体"/>
          <w:color w:val="auto"/>
          <w:spacing w:val="11"/>
          <w:sz w:val="36"/>
          <w:szCs w:val="36"/>
          <w:highlight w:val="none"/>
        </w:rPr>
        <w:t>管理实施办法</w:t>
      </w:r>
      <w:r>
        <w:rPr>
          <w:rFonts w:hint="eastAsia" w:ascii="宋体" w:hAnsi="宋体" w:eastAsia="方正小标宋简体" w:cs="方正小标宋简体"/>
          <w:color w:val="auto"/>
          <w:spacing w:val="11"/>
          <w:sz w:val="36"/>
          <w:szCs w:val="36"/>
          <w:highlight w:val="none"/>
          <w:lang w:eastAsia="zh-CN"/>
        </w:rPr>
        <w:t>（</w:t>
      </w:r>
      <w:r>
        <w:rPr>
          <w:rFonts w:hint="eastAsia" w:ascii="宋体" w:hAnsi="宋体" w:eastAsia="方正小标宋简体" w:cs="方正小标宋简体"/>
          <w:color w:val="auto"/>
          <w:spacing w:val="11"/>
          <w:sz w:val="36"/>
          <w:szCs w:val="36"/>
          <w:highlight w:val="none"/>
          <w:lang w:val="en-US" w:eastAsia="zh-CN"/>
        </w:rPr>
        <w:t>试行</w:t>
      </w:r>
      <w:r>
        <w:rPr>
          <w:rFonts w:hint="eastAsia" w:ascii="宋体" w:hAnsi="宋体" w:eastAsia="方正小标宋简体" w:cs="方正小标宋简体"/>
          <w:color w:val="auto"/>
          <w:spacing w:val="11"/>
          <w:sz w:val="36"/>
          <w:szCs w:val="36"/>
          <w:highlight w:val="none"/>
          <w:lang w:eastAsia="zh-CN"/>
        </w:rPr>
        <w:t>）</w:t>
      </w:r>
    </w:p>
    <w:p w14:paraId="65DA3ABD">
      <w:pPr>
        <w:keepNext w:val="0"/>
        <w:keepLines w:val="0"/>
        <w:pageBreakBefore w:val="0"/>
        <w:widowControl w:val="0"/>
        <w:pBdr>
          <w:top w:val="none" w:color="auto" w:sz="0" w:space="0"/>
          <w:bottom w:val="none" w:color="auto" w:sz="0" w:space="0"/>
        </w:pBdr>
        <w:kinsoku/>
        <w:wordWrap/>
        <w:overflowPunct w:val="0"/>
        <w:topLinePunct w:val="0"/>
        <w:autoSpaceDE/>
        <w:autoSpaceDN/>
        <w:bidi w:val="0"/>
        <w:adjustRightInd/>
        <w:snapToGrid/>
        <w:spacing w:after="0" w:line="579" w:lineRule="exact"/>
        <w:ind w:left="0"/>
        <w:jc w:val="center"/>
        <w:textAlignment w:val="auto"/>
        <w:rPr>
          <w:rFonts w:hint="eastAsia" w:ascii="宋体" w:hAnsi="宋体" w:eastAsia="方正小标宋简体" w:cs="方正小标宋简体"/>
          <w:color w:val="auto"/>
          <w:spacing w:val="11"/>
          <w:sz w:val="32"/>
          <w:szCs w:val="32"/>
          <w:highlight w:val="none"/>
        </w:rPr>
      </w:pPr>
    </w:p>
    <w:p w14:paraId="7CB7A804">
      <w:pPr>
        <w:keepNext w:val="0"/>
        <w:keepLines w:val="0"/>
        <w:pageBreakBefore w:val="0"/>
        <w:widowControl w:val="0"/>
        <w:numPr>
          <w:ilvl w:val="0"/>
          <w:numId w:val="0"/>
        </w:numPr>
        <w:pBdr>
          <w:top w:val="none" w:color="auto" w:sz="0" w:space="0"/>
          <w:bottom w:val="none" w:color="auto" w:sz="0" w:space="0"/>
        </w:pBdr>
        <w:kinsoku/>
        <w:wordWrap/>
        <w:overflowPunct w:val="0"/>
        <w:topLinePunct w:val="0"/>
        <w:autoSpaceDE/>
        <w:autoSpaceDN/>
        <w:bidi w:val="0"/>
        <w:adjustRightInd/>
        <w:snapToGrid/>
        <w:spacing w:after="0" w:line="579" w:lineRule="exact"/>
        <w:jc w:val="center"/>
        <w:textAlignment w:val="auto"/>
        <w:rPr>
          <w:rFonts w:hint="eastAsia" w:ascii="宋体" w:hAnsi="宋体" w:eastAsia="方正小标宋简体" w:cs="方正小标宋简体"/>
          <w:color w:val="auto"/>
          <w:spacing w:val="6"/>
          <w:sz w:val="30"/>
          <w:szCs w:val="30"/>
          <w:highlight w:val="none"/>
        </w:rPr>
      </w:pPr>
      <w:r>
        <w:rPr>
          <w:rFonts w:hint="eastAsia" w:ascii="宋体" w:hAnsi="宋体" w:eastAsia="方正小标宋简体" w:cs="方正小标宋简体"/>
          <w:color w:val="auto"/>
          <w:spacing w:val="6"/>
          <w:sz w:val="30"/>
          <w:szCs w:val="30"/>
          <w:highlight w:val="none"/>
          <w:lang w:eastAsia="zh-CN"/>
        </w:rPr>
        <w:t>第一章</w:t>
      </w:r>
      <w:r>
        <w:rPr>
          <w:rFonts w:hint="eastAsia" w:ascii="宋体" w:hAnsi="宋体" w:eastAsia="方正小标宋简体" w:cs="方正小标宋简体"/>
          <w:color w:val="auto"/>
          <w:spacing w:val="6"/>
          <w:sz w:val="30"/>
          <w:szCs w:val="30"/>
          <w:highlight w:val="none"/>
          <w:lang w:val="en-US" w:eastAsia="zh-CN"/>
        </w:rPr>
        <w:t xml:space="preserve">  </w:t>
      </w:r>
      <w:r>
        <w:rPr>
          <w:rFonts w:hint="eastAsia" w:ascii="宋体" w:hAnsi="宋体" w:eastAsia="方正小标宋简体" w:cs="方正小标宋简体"/>
          <w:color w:val="auto"/>
          <w:spacing w:val="6"/>
          <w:sz w:val="30"/>
          <w:szCs w:val="30"/>
          <w:highlight w:val="none"/>
        </w:rPr>
        <w:t>总</w:t>
      </w:r>
      <w:r>
        <w:rPr>
          <w:rFonts w:hint="eastAsia" w:ascii="宋体" w:hAnsi="宋体" w:eastAsia="方正小标宋简体" w:cs="方正小标宋简体"/>
          <w:color w:val="auto"/>
          <w:spacing w:val="6"/>
          <w:sz w:val="30"/>
          <w:szCs w:val="30"/>
          <w:highlight w:val="none"/>
          <w:lang w:val="en-US" w:eastAsia="zh-CN"/>
        </w:rPr>
        <w:t xml:space="preserve">    </w:t>
      </w:r>
      <w:r>
        <w:rPr>
          <w:rFonts w:hint="eastAsia" w:ascii="宋体" w:hAnsi="宋体" w:eastAsia="方正小标宋简体" w:cs="方正小标宋简体"/>
          <w:color w:val="auto"/>
          <w:spacing w:val="6"/>
          <w:sz w:val="30"/>
          <w:szCs w:val="30"/>
          <w:highlight w:val="none"/>
        </w:rPr>
        <w:t>则</w:t>
      </w:r>
    </w:p>
    <w:p w14:paraId="36B720F4">
      <w:pPr>
        <w:pStyle w:val="2"/>
        <w:keepNext w:val="0"/>
        <w:keepLines w:val="0"/>
        <w:pageBreakBefore w:val="0"/>
        <w:widowControl w:val="0"/>
        <w:numPr>
          <w:ilvl w:val="0"/>
          <w:numId w:val="0"/>
        </w:numPr>
        <w:kinsoku/>
        <w:wordWrap/>
        <w:overflowPunct w:val="0"/>
        <w:topLinePunct w:val="0"/>
        <w:autoSpaceDE/>
        <w:autoSpaceDN/>
        <w:bidi w:val="0"/>
        <w:adjustRightInd/>
        <w:snapToGrid/>
        <w:spacing w:after="0" w:line="579" w:lineRule="exact"/>
        <w:jc w:val="center"/>
        <w:textAlignment w:val="auto"/>
        <w:rPr>
          <w:rFonts w:hint="eastAsia" w:ascii="宋体" w:hAnsi="宋体"/>
          <w:color w:val="auto"/>
          <w:spacing w:val="6"/>
        </w:rPr>
      </w:pPr>
    </w:p>
    <w:p w14:paraId="18EE77AE">
      <w:pPr>
        <w:keepNext w:val="0"/>
        <w:keepLines w:val="0"/>
        <w:pageBreakBefore w:val="0"/>
        <w:widowControl w:val="0"/>
        <w:numPr>
          <w:ilvl w:val="0"/>
          <w:numId w:val="0"/>
        </w:numPr>
        <w:pBdr>
          <w:top w:val="none" w:color="auto" w:sz="0" w:space="0"/>
          <w:bottom w:val="none" w:color="auto" w:sz="0" w:space="0"/>
        </w:pBdr>
        <w:kinsoku/>
        <w:wordWrap/>
        <w:overflowPunct w:val="0"/>
        <w:topLinePunct w:val="0"/>
        <w:autoSpaceDE/>
        <w:autoSpaceDN/>
        <w:bidi w:val="0"/>
        <w:adjustRightInd/>
        <w:snapToGrid/>
        <w:spacing w:after="0" w:line="579" w:lineRule="exact"/>
        <w:ind w:firstLine="624" w:firstLineChars="200"/>
        <w:jc w:val="both"/>
        <w:textAlignment w:val="auto"/>
        <w:rPr>
          <w:rFonts w:hint="eastAsia" w:ascii="宋体" w:hAnsi="宋体" w:eastAsia="仿宋_GB2312" w:cs="仿宋_GB2312"/>
          <w:color w:val="auto"/>
          <w:spacing w:val="6"/>
          <w:sz w:val="30"/>
          <w:szCs w:val="30"/>
          <w:highlight w:val="none"/>
        </w:rPr>
      </w:pPr>
      <w:r>
        <w:rPr>
          <w:rFonts w:hint="eastAsia" w:ascii="宋体" w:hAnsi="宋体" w:eastAsia="黑体" w:cs="黑体"/>
          <w:color w:val="auto"/>
          <w:spacing w:val="6"/>
          <w:sz w:val="30"/>
          <w:szCs w:val="30"/>
          <w:highlight w:val="none"/>
          <w:lang w:eastAsia="zh-CN"/>
        </w:rPr>
        <w:t>第一条</w:t>
      </w:r>
      <w:r>
        <w:rPr>
          <w:rFonts w:hint="eastAsia" w:ascii="宋体" w:hAnsi="宋体" w:eastAsia="黑体" w:cs="黑体"/>
          <w:color w:val="auto"/>
          <w:spacing w:val="6"/>
          <w:sz w:val="30"/>
          <w:szCs w:val="30"/>
          <w:highlight w:val="none"/>
          <w:lang w:val="en-US" w:eastAsia="zh-CN"/>
        </w:rPr>
        <w:t xml:space="preserve">  </w:t>
      </w:r>
      <w:r>
        <w:rPr>
          <w:rFonts w:hint="eastAsia" w:ascii="宋体" w:hAnsi="宋体" w:eastAsia="仿宋_GB2312" w:cs="仿宋_GB2312"/>
          <w:color w:val="auto"/>
          <w:spacing w:val="6"/>
          <w:sz w:val="30"/>
          <w:szCs w:val="30"/>
          <w:highlight w:val="none"/>
        </w:rPr>
        <w:t>为规范</w:t>
      </w:r>
      <w:r>
        <w:rPr>
          <w:rFonts w:hint="eastAsia" w:ascii="宋体" w:hAnsi="宋体" w:eastAsia="仿宋_GB2312" w:cs="仿宋_GB2312"/>
          <w:color w:val="auto"/>
          <w:spacing w:val="6"/>
          <w:sz w:val="30"/>
          <w:szCs w:val="30"/>
          <w:highlight w:val="none"/>
          <w:lang w:val="en-US" w:eastAsia="zh-CN"/>
        </w:rPr>
        <w:t>中央财政下达</w:t>
      </w:r>
      <w:r>
        <w:rPr>
          <w:rFonts w:hint="eastAsia" w:ascii="宋体" w:hAnsi="宋体" w:eastAsia="仿宋_GB2312" w:cs="仿宋_GB2312"/>
          <w:color w:val="auto"/>
          <w:spacing w:val="6"/>
          <w:sz w:val="30"/>
          <w:szCs w:val="30"/>
          <w:highlight w:val="none"/>
        </w:rPr>
        <w:t>云南省废弃电器电子产品处理专项资金（以下简称专项资金）管理，</w:t>
      </w:r>
      <w:r>
        <w:rPr>
          <w:rFonts w:hint="eastAsia" w:ascii="宋体" w:hAnsi="宋体" w:eastAsia="仿宋_GB2312" w:cs="仿宋_GB2312"/>
          <w:color w:val="auto"/>
          <w:spacing w:val="6"/>
          <w:sz w:val="30"/>
          <w:szCs w:val="30"/>
          <w:highlight w:val="none"/>
          <w:lang w:val="en-US" w:eastAsia="zh-CN"/>
        </w:rPr>
        <w:t>提升</w:t>
      </w:r>
      <w:r>
        <w:rPr>
          <w:rFonts w:hint="eastAsia" w:ascii="宋体" w:hAnsi="宋体" w:eastAsia="仿宋_GB2312" w:cs="仿宋_GB2312"/>
          <w:color w:val="auto"/>
          <w:spacing w:val="6"/>
          <w:sz w:val="30"/>
          <w:szCs w:val="30"/>
          <w:highlight w:val="none"/>
        </w:rPr>
        <w:t>财政资金使用效益，根据《中华人民共和国预算法》及其实施条例、《废弃电器电子产品回收处理管理条例》及《废弃电器电子产品处理专项资金管理办法》等相关规定，制定本办法。</w:t>
      </w:r>
    </w:p>
    <w:p w14:paraId="5E8979FD">
      <w:pPr>
        <w:keepNext w:val="0"/>
        <w:keepLines w:val="0"/>
        <w:pageBreakBefore w:val="0"/>
        <w:widowControl w:val="0"/>
        <w:numPr>
          <w:ilvl w:val="0"/>
          <w:numId w:val="0"/>
        </w:numPr>
        <w:pBdr>
          <w:top w:val="none" w:color="auto" w:sz="0" w:space="0"/>
          <w:bottom w:val="none" w:color="auto" w:sz="0" w:space="0"/>
        </w:pBdr>
        <w:kinsoku/>
        <w:wordWrap/>
        <w:overflowPunct w:val="0"/>
        <w:topLinePunct w:val="0"/>
        <w:autoSpaceDE/>
        <w:autoSpaceDN/>
        <w:bidi w:val="0"/>
        <w:adjustRightInd/>
        <w:snapToGrid/>
        <w:spacing w:after="0" w:line="579" w:lineRule="exact"/>
        <w:ind w:firstLine="624" w:firstLineChars="200"/>
        <w:jc w:val="both"/>
        <w:textAlignment w:val="auto"/>
        <w:rPr>
          <w:rFonts w:hint="eastAsia" w:ascii="宋体" w:hAnsi="宋体" w:eastAsia="仿宋_GB2312" w:cs="仿宋_GB2312"/>
          <w:color w:val="auto"/>
          <w:spacing w:val="6"/>
          <w:sz w:val="30"/>
          <w:szCs w:val="30"/>
          <w:highlight w:val="none"/>
          <w:lang w:val="en-US"/>
        </w:rPr>
      </w:pPr>
      <w:r>
        <w:rPr>
          <w:rFonts w:hint="eastAsia" w:ascii="宋体" w:hAnsi="宋体" w:eastAsia="黑体" w:cs="黑体"/>
          <w:color w:val="auto"/>
          <w:spacing w:val="6"/>
          <w:sz w:val="30"/>
          <w:szCs w:val="30"/>
          <w:highlight w:val="none"/>
          <w:lang w:val="en-US" w:eastAsia="zh-CN"/>
        </w:rPr>
        <w:t xml:space="preserve">第二条  </w:t>
      </w:r>
      <w:r>
        <w:rPr>
          <w:rFonts w:hint="eastAsia" w:ascii="宋体" w:hAnsi="宋体" w:eastAsia="仿宋_GB2312" w:cs="仿宋_GB2312"/>
          <w:color w:val="auto"/>
          <w:spacing w:val="6"/>
          <w:sz w:val="30"/>
          <w:szCs w:val="30"/>
          <w:highlight w:val="none"/>
          <w:lang w:val="en-US" w:eastAsia="zh-CN"/>
        </w:rPr>
        <w:t>本办法所称专项资金，是指中央财政通过一般公共预算安排的，用于促进资源综合利用和循环发展，支持废弃电器电子产品处理的专项转移支付资金。</w:t>
      </w:r>
    </w:p>
    <w:p w14:paraId="3D92EECD">
      <w:pPr>
        <w:keepNext w:val="0"/>
        <w:keepLines w:val="0"/>
        <w:pageBreakBefore w:val="0"/>
        <w:widowControl w:val="0"/>
        <w:numPr>
          <w:ilvl w:val="0"/>
          <w:numId w:val="0"/>
        </w:numPr>
        <w:pBdr>
          <w:top w:val="none" w:color="auto" w:sz="0" w:space="0"/>
          <w:bottom w:val="none" w:color="auto" w:sz="0" w:space="0"/>
        </w:pBdr>
        <w:kinsoku/>
        <w:wordWrap/>
        <w:overflowPunct w:val="0"/>
        <w:topLinePunct w:val="0"/>
        <w:autoSpaceDE/>
        <w:autoSpaceDN/>
        <w:bidi w:val="0"/>
        <w:adjustRightInd/>
        <w:snapToGrid/>
        <w:spacing w:after="0" w:line="579" w:lineRule="exact"/>
        <w:ind w:left="0" w:firstLine="624" w:firstLineChars="200"/>
        <w:jc w:val="both"/>
        <w:textAlignment w:val="auto"/>
        <w:rPr>
          <w:rFonts w:hint="eastAsia" w:ascii="宋体" w:hAnsi="宋体" w:eastAsia="仿宋_GB2312" w:cs="仿宋_GB2312"/>
          <w:color w:val="auto"/>
          <w:spacing w:val="6"/>
          <w:sz w:val="30"/>
          <w:szCs w:val="30"/>
          <w:highlight w:val="none"/>
        </w:rPr>
      </w:pPr>
      <w:r>
        <w:rPr>
          <w:rFonts w:hint="eastAsia" w:ascii="宋体" w:hAnsi="宋体" w:eastAsia="黑体" w:cs="黑体"/>
          <w:color w:val="auto"/>
          <w:spacing w:val="6"/>
          <w:sz w:val="30"/>
          <w:szCs w:val="30"/>
          <w:highlight w:val="none"/>
        </w:rPr>
        <w:t>第</w:t>
      </w:r>
      <w:r>
        <w:rPr>
          <w:rFonts w:hint="eastAsia" w:ascii="宋体" w:hAnsi="宋体" w:eastAsia="黑体" w:cs="黑体"/>
          <w:color w:val="auto"/>
          <w:spacing w:val="6"/>
          <w:sz w:val="30"/>
          <w:szCs w:val="30"/>
          <w:highlight w:val="none"/>
          <w:lang w:val="en-US" w:eastAsia="zh-CN"/>
        </w:rPr>
        <w:t>三</w:t>
      </w:r>
      <w:r>
        <w:rPr>
          <w:rFonts w:hint="eastAsia" w:ascii="宋体" w:hAnsi="宋体" w:eastAsia="黑体" w:cs="黑体"/>
          <w:color w:val="auto"/>
          <w:spacing w:val="6"/>
          <w:sz w:val="30"/>
          <w:szCs w:val="30"/>
          <w:highlight w:val="none"/>
        </w:rPr>
        <w:t xml:space="preserve">条 </w:t>
      </w:r>
      <w:r>
        <w:rPr>
          <w:rFonts w:hint="eastAsia" w:ascii="宋体" w:hAnsi="宋体" w:eastAsia="黑体" w:cs="黑体"/>
          <w:color w:val="auto"/>
          <w:spacing w:val="6"/>
          <w:sz w:val="30"/>
          <w:szCs w:val="30"/>
          <w:highlight w:val="none"/>
          <w:lang w:val="en-US" w:eastAsia="zh-CN"/>
        </w:rPr>
        <w:t xml:space="preserve"> </w:t>
      </w:r>
      <w:r>
        <w:rPr>
          <w:rFonts w:hint="eastAsia" w:ascii="宋体" w:hAnsi="宋体" w:eastAsia="仿宋_GB2312" w:cs="仿宋_GB2312"/>
          <w:color w:val="auto"/>
          <w:spacing w:val="6"/>
          <w:sz w:val="30"/>
          <w:szCs w:val="30"/>
          <w:highlight w:val="none"/>
        </w:rPr>
        <w:t>专项资金的分配、使用和管理遵循以下原则：</w:t>
      </w:r>
    </w:p>
    <w:p w14:paraId="57608314">
      <w:pPr>
        <w:keepNext w:val="0"/>
        <w:keepLines w:val="0"/>
        <w:pageBreakBefore w:val="0"/>
        <w:widowControl w:val="0"/>
        <w:pBdr>
          <w:top w:val="none" w:color="auto" w:sz="0" w:space="0"/>
          <w:bottom w:val="none" w:color="auto" w:sz="0" w:space="0"/>
        </w:pBdr>
        <w:kinsoku/>
        <w:wordWrap/>
        <w:overflowPunct w:val="0"/>
        <w:topLinePunct w:val="0"/>
        <w:autoSpaceDE/>
        <w:autoSpaceDN/>
        <w:bidi w:val="0"/>
        <w:adjustRightInd/>
        <w:snapToGrid/>
        <w:spacing w:after="0" w:line="579" w:lineRule="exact"/>
        <w:ind w:left="0" w:firstLine="624" w:firstLineChars="200"/>
        <w:jc w:val="both"/>
        <w:textAlignment w:val="auto"/>
        <w:rPr>
          <w:rFonts w:hint="eastAsia" w:ascii="宋体" w:hAnsi="宋体" w:eastAsia="仿宋_GB2312" w:cs="仿宋_GB2312"/>
          <w:b w:val="0"/>
          <w:bCs w:val="0"/>
          <w:color w:val="auto"/>
          <w:spacing w:val="6"/>
          <w:sz w:val="30"/>
          <w:szCs w:val="30"/>
          <w:highlight w:val="none"/>
          <w:lang w:val="en-US" w:eastAsia="zh-CN"/>
        </w:rPr>
      </w:pPr>
      <w:r>
        <w:rPr>
          <w:rFonts w:hint="eastAsia" w:ascii="宋体" w:hAnsi="宋体" w:eastAsia="仿宋_GB2312" w:cs="仿宋_GB2312"/>
          <w:color w:val="auto"/>
          <w:spacing w:val="6"/>
          <w:sz w:val="30"/>
          <w:szCs w:val="30"/>
          <w:highlight w:val="none"/>
        </w:rPr>
        <w:t>（一）</w:t>
      </w:r>
      <w:r>
        <w:rPr>
          <w:rFonts w:hint="eastAsia" w:ascii="宋体" w:hAnsi="宋体" w:eastAsia="仿宋_GB2312" w:cs="仿宋_GB2312"/>
          <w:color w:val="auto"/>
          <w:spacing w:val="6"/>
          <w:sz w:val="30"/>
          <w:szCs w:val="30"/>
          <w:highlight w:val="none"/>
          <w:lang w:val="en-US" w:eastAsia="zh-CN"/>
        </w:rPr>
        <w:t>贯彻落实党中央、国务院关于美丽中国建设重要决策部署。</w:t>
      </w:r>
    </w:p>
    <w:p w14:paraId="7CC46CF0">
      <w:pPr>
        <w:keepNext w:val="0"/>
        <w:keepLines w:val="0"/>
        <w:pageBreakBefore w:val="0"/>
        <w:widowControl w:val="0"/>
        <w:pBdr>
          <w:top w:val="none" w:color="auto" w:sz="0" w:space="0"/>
          <w:bottom w:val="none" w:color="auto" w:sz="0" w:space="0"/>
        </w:pBdr>
        <w:kinsoku/>
        <w:wordWrap/>
        <w:overflowPunct w:val="0"/>
        <w:topLinePunct w:val="0"/>
        <w:autoSpaceDE/>
        <w:autoSpaceDN/>
        <w:bidi w:val="0"/>
        <w:adjustRightInd/>
        <w:snapToGrid/>
        <w:spacing w:after="0" w:line="579" w:lineRule="exact"/>
        <w:ind w:left="0" w:firstLine="624" w:firstLineChars="200"/>
        <w:jc w:val="both"/>
        <w:textAlignment w:val="auto"/>
        <w:rPr>
          <w:rFonts w:hint="eastAsia" w:ascii="宋体" w:hAnsi="宋体" w:eastAsia="仿宋_GB2312" w:cs="仿宋_GB2312"/>
          <w:color w:val="auto"/>
          <w:spacing w:val="6"/>
          <w:sz w:val="30"/>
          <w:szCs w:val="30"/>
          <w:highlight w:val="none"/>
        </w:rPr>
      </w:pPr>
      <w:r>
        <w:rPr>
          <w:rFonts w:hint="eastAsia" w:ascii="宋体" w:hAnsi="宋体" w:eastAsia="仿宋_GB2312" w:cs="仿宋_GB2312"/>
          <w:color w:val="auto"/>
          <w:spacing w:val="6"/>
          <w:sz w:val="30"/>
          <w:szCs w:val="30"/>
          <w:highlight w:val="none"/>
          <w:lang w:eastAsia="zh-CN"/>
        </w:rPr>
        <w:t>（</w:t>
      </w:r>
      <w:r>
        <w:rPr>
          <w:rFonts w:hint="eastAsia" w:ascii="宋体" w:hAnsi="宋体" w:eastAsia="仿宋_GB2312" w:cs="仿宋_GB2312"/>
          <w:color w:val="auto"/>
          <w:spacing w:val="6"/>
          <w:sz w:val="30"/>
          <w:szCs w:val="30"/>
          <w:highlight w:val="none"/>
          <w:lang w:val="en-US" w:eastAsia="zh-CN"/>
        </w:rPr>
        <w:t>二</w:t>
      </w:r>
      <w:r>
        <w:rPr>
          <w:rFonts w:hint="eastAsia" w:ascii="宋体" w:hAnsi="宋体" w:eastAsia="仿宋_GB2312" w:cs="仿宋_GB2312"/>
          <w:color w:val="auto"/>
          <w:spacing w:val="6"/>
          <w:sz w:val="30"/>
          <w:szCs w:val="30"/>
          <w:highlight w:val="none"/>
          <w:lang w:eastAsia="zh-CN"/>
        </w:rPr>
        <w:t>）</w:t>
      </w:r>
      <w:r>
        <w:rPr>
          <w:rFonts w:hint="eastAsia" w:ascii="宋体" w:hAnsi="宋体" w:eastAsia="仿宋_GB2312" w:cs="仿宋_GB2312"/>
          <w:color w:val="auto"/>
          <w:spacing w:val="6"/>
          <w:sz w:val="30"/>
          <w:szCs w:val="30"/>
          <w:highlight w:val="none"/>
        </w:rPr>
        <w:t>符合国家宏观政策和生态环境保护要求。</w:t>
      </w:r>
    </w:p>
    <w:p w14:paraId="53F806CD">
      <w:pPr>
        <w:keepNext w:val="0"/>
        <w:keepLines w:val="0"/>
        <w:pageBreakBefore w:val="0"/>
        <w:widowControl w:val="0"/>
        <w:pBdr>
          <w:top w:val="none" w:color="auto" w:sz="0" w:space="0"/>
          <w:bottom w:val="none" w:color="auto" w:sz="0" w:space="0"/>
        </w:pBdr>
        <w:kinsoku/>
        <w:wordWrap/>
        <w:overflowPunct w:val="0"/>
        <w:topLinePunct w:val="0"/>
        <w:autoSpaceDE/>
        <w:autoSpaceDN/>
        <w:bidi w:val="0"/>
        <w:adjustRightInd/>
        <w:snapToGrid/>
        <w:spacing w:after="0" w:line="579" w:lineRule="exact"/>
        <w:ind w:left="0" w:firstLine="624" w:firstLineChars="200"/>
        <w:jc w:val="both"/>
        <w:textAlignment w:val="auto"/>
        <w:rPr>
          <w:rFonts w:hint="eastAsia" w:ascii="宋体" w:hAnsi="宋体" w:eastAsia="仿宋_GB2312" w:cs="仿宋_GB2312"/>
          <w:b w:val="0"/>
          <w:bCs w:val="0"/>
          <w:color w:val="auto"/>
          <w:spacing w:val="6"/>
          <w:sz w:val="30"/>
          <w:szCs w:val="30"/>
          <w:highlight w:val="none"/>
        </w:rPr>
      </w:pPr>
      <w:r>
        <w:rPr>
          <w:rFonts w:hint="eastAsia" w:ascii="宋体" w:hAnsi="宋体" w:eastAsia="仿宋_GB2312" w:cs="仿宋_GB2312"/>
          <w:color w:val="auto"/>
          <w:spacing w:val="6"/>
          <w:sz w:val="30"/>
          <w:szCs w:val="30"/>
          <w:highlight w:val="none"/>
        </w:rPr>
        <w:t>（</w:t>
      </w:r>
      <w:r>
        <w:rPr>
          <w:rFonts w:hint="eastAsia" w:ascii="宋体" w:hAnsi="宋体" w:eastAsia="仿宋_GB2312" w:cs="仿宋_GB2312"/>
          <w:color w:val="auto"/>
          <w:spacing w:val="6"/>
          <w:sz w:val="30"/>
          <w:szCs w:val="30"/>
          <w:highlight w:val="none"/>
          <w:lang w:val="en-US" w:eastAsia="zh-CN"/>
        </w:rPr>
        <w:t>三</w:t>
      </w:r>
      <w:r>
        <w:rPr>
          <w:rFonts w:hint="eastAsia" w:ascii="宋体" w:hAnsi="宋体" w:eastAsia="仿宋_GB2312" w:cs="仿宋_GB2312"/>
          <w:color w:val="auto"/>
          <w:spacing w:val="6"/>
          <w:sz w:val="30"/>
          <w:szCs w:val="30"/>
          <w:highlight w:val="none"/>
        </w:rPr>
        <w:t>）坚持公开、公平、公正，主动接受社会监督。</w:t>
      </w:r>
    </w:p>
    <w:p w14:paraId="77016A97">
      <w:pPr>
        <w:keepNext w:val="0"/>
        <w:keepLines w:val="0"/>
        <w:pageBreakBefore w:val="0"/>
        <w:widowControl w:val="0"/>
        <w:pBdr>
          <w:top w:val="none" w:color="auto" w:sz="0" w:space="0"/>
          <w:bottom w:val="none" w:color="auto" w:sz="0" w:space="0"/>
        </w:pBdr>
        <w:kinsoku/>
        <w:wordWrap/>
        <w:overflowPunct w:val="0"/>
        <w:topLinePunct w:val="0"/>
        <w:autoSpaceDE/>
        <w:autoSpaceDN/>
        <w:bidi w:val="0"/>
        <w:adjustRightInd/>
        <w:snapToGrid/>
        <w:spacing w:after="0" w:line="579" w:lineRule="exact"/>
        <w:ind w:left="0" w:firstLine="624" w:firstLineChars="200"/>
        <w:jc w:val="both"/>
        <w:textAlignment w:val="auto"/>
        <w:rPr>
          <w:rFonts w:hint="eastAsia" w:ascii="宋体" w:hAnsi="宋体" w:eastAsia="仿宋_GB2312" w:cs="仿宋_GB2312"/>
          <w:color w:val="auto"/>
          <w:spacing w:val="6"/>
          <w:sz w:val="30"/>
          <w:szCs w:val="30"/>
          <w:highlight w:val="none"/>
        </w:rPr>
      </w:pPr>
      <w:r>
        <w:rPr>
          <w:rFonts w:hint="eastAsia" w:ascii="宋体" w:hAnsi="宋体" w:eastAsia="仿宋_GB2312" w:cs="仿宋_GB2312"/>
          <w:color w:val="auto"/>
          <w:spacing w:val="6"/>
          <w:sz w:val="30"/>
          <w:szCs w:val="30"/>
          <w:highlight w:val="none"/>
        </w:rPr>
        <w:t>（</w:t>
      </w:r>
      <w:r>
        <w:rPr>
          <w:rFonts w:hint="eastAsia" w:ascii="宋体" w:hAnsi="宋体" w:eastAsia="仿宋_GB2312" w:cs="仿宋_GB2312"/>
          <w:color w:val="auto"/>
          <w:spacing w:val="6"/>
          <w:sz w:val="30"/>
          <w:szCs w:val="30"/>
          <w:highlight w:val="none"/>
          <w:lang w:val="en-US" w:eastAsia="zh-CN"/>
        </w:rPr>
        <w:t>四</w:t>
      </w:r>
      <w:r>
        <w:rPr>
          <w:rFonts w:hint="eastAsia" w:ascii="宋体" w:hAnsi="宋体" w:eastAsia="仿宋_GB2312" w:cs="仿宋_GB2312"/>
          <w:color w:val="auto"/>
          <w:spacing w:val="6"/>
          <w:sz w:val="30"/>
          <w:szCs w:val="30"/>
          <w:highlight w:val="none"/>
        </w:rPr>
        <w:t>）实施全过程预算绩效管理，强化资金监管，充分发挥资金效益。</w:t>
      </w:r>
    </w:p>
    <w:p w14:paraId="415579F4">
      <w:pPr>
        <w:keepNext w:val="0"/>
        <w:keepLines w:val="0"/>
        <w:pageBreakBefore w:val="0"/>
        <w:widowControl w:val="0"/>
        <w:pBdr>
          <w:top w:val="none" w:color="auto" w:sz="0" w:space="0"/>
          <w:bottom w:val="none" w:color="auto" w:sz="0" w:space="0"/>
        </w:pBdr>
        <w:kinsoku/>
        <w:wordWrap/>
        <w:overflowPunct w:val="0"/>
        <w:topLinePunct w:val="0"/>
        <w:autoSpaceDE/>
        <w:autoSpaceDN/>
        <w:bidi w:val="0"/>
        <w:adjustRightInd/>
        <w:snapToGrid/>
        <w:spacing w:after="0" w:line="579" w:lineRule="exact"/>
        <w:ind w:left="0" w:firstLine="624" w:firstLineChars="200"/>
        <w:jc w:val="both"/>
        <w:textAlignment w:val="auto"/>
        <w:rPr>
          <w:rFonts w:hint="eastAsia" w:ascii="宋体" w:hAnsi="宋体" w:eastAsia="仿宋_GB2312" w:cs="仿宋_GB2312"/>
          <w:color w:val="auto"/>
          <w:spacing w:val="6"/>
          <w:sz w:val="30"/>
          <w:szCs w:val="30"/>
          <w:highlight w:val="none"/>
        </w:rPr>
      </w:pPr>
      <w:r>
        <w:rPr>
          <w:rFonts w:hint="eastAsia" w:ascii="宋体" w:hAnsi="宋体" w:eastAsia="仿宋_GB2312" w:cs="仿宋_GB2312"/>
          <w:color w:val="auto"/>
          <w:spacing w:val="6"/>
          <w:sz w:val="30"/>
          <w:szCs w:val="30"/>
          <w:highlight w:val="none"/>
        </w:rPr>
        <w:t>（</w:t>
      </w:r>
      <w:r>
        <w:rPr>
          <w:rFonts w:hint="eastAsia" w:ascii="宋体" w:hAnsi="宋体" w:eastAsia="仿宋_GB2312" w:cs="仿宋_GB2312"/>
          <w:color w:val="auto"/>
          <w:spacing w:val="6"/>
          <w:sz w:val="30"/>
          <w:szCs w:val="30"/>
          <w:highlight w:val="none"/>
          <w:lang w:val="en-US" w:eastAsia="zh-CN"/>
        </w:rPr>
        <w:t>五</w:t>
      </w:r>
      <w:r>
        <w:rPr>
          <w:rFonts w:hint="eastAsia" w:ascii="宋体" w:hAnsi="宋体" w:eastAsia="仿宋_GB2312" w:cs="仿宋_GB2312"/>
          <w:color w:val="auto"/>
          <w:spacing w:val="6"/>
          <w:sz w:val="30"/>
          <w:szCs w:val="30"/>
          <w:highlight w:val="none"/>
        </w:rPr>
        <w:t>）突出奖优扶强，</w:t>
      </w:r>
      <w:r>
        <w:rPr>
          <w:rFonts w:hint="eastAsia" w:ascii="宋体" w:hAnsi="宋体" w:eastAsia="仿宋_GB2312" w:cs="仿宋_GB2312"/>
          <w:color w:val="auto"/>
          <w:spacing w:val="6"/>
          <w:sz w:val="30"/>
          <w:szCs w:val="30"/>
          <w:highlight w:val="none"/>
          <w:lang w:val="en-US" w:eastAsia="zh-CN"/>
        </w:rPr>
        <w:t>采取措施</w:t>
      </w:r>
      <w:r>
        <w:rPr>
          <w:rFonts w:hint="eastAsia" w:ascii="宋体" w:hAnsi="宋体" w:eastAsia="仿宋_GB2312" w:cs="仿宋_GB2312"/>
          <w:color w:val="auto"/>
          <w:spacing w:val="6"/>
          <w:sz w:val="30"/>
          <w:szCs w:val="30"/>
          <w:highlight w:val="none"/>
        </w:rPr>
        <w:t>激励</w:t>
      </w:r>
      <w:r>
        <w:rPr>
          <w:rFonts w:hint="eastAsia" w:ascii="宋体" w:hAnsi="宋体" w:eastAsia="仿宋_GB2312" w:cs="仿宋_GB2312"/>
          <w:color w:val="auto"/>
          <w:spacing w:val="6"/>
          <w:sz w:val="30"/>
          <w:szCs w:val="30"/>
          <w:highlight w:val="none"/>
          <w:lang w:val="en-US" w:eastAsia="zh-CN"/>
        </w:rPr>
        <w:t>相关企业</w:t>
      </w:r>
      <w:r>
        <w:rPr>
          <w:rFonts w:hint="eastAsia" w:ascii="宋体" w:hAnsi="宋体" w:eastAsia="仿宋_GB2312" w:cs="仿宋_GB2312"/>
          <w:color w:val="auto"/>
          <w:spacing w:val="6"/>
          <w:sz w:val="30"/>
          <w:szCs w:val="30"/>
          <w:highlight w:val="none"/>
        </w:rPr>
        <w:t>提高回收处理能力</w:t>
      </w:r>
      <w:r>
        <w:rPr>
          <w:rFonts w:hint="eastAsia" w:ascii="宋体" w:hAnsi="宋体" w:eastAsia="仿宋_GB2312" w:cs="仿宋_GB2312"/>
          <w:color w:val="auto"/>
          <w:spacing w:val="6"/>
          <w:sz w:val="30"/>
          <w:szCs w:val="30"/>
          <w:highlight w:val="none"/>
          <w:lang w:eastAsia="zh-CN"/>
        </w:rPr>
        <w:t>，</w:t>
      </w:r>
      <w:r>
        <w:rPr>
          <w:rFonts w:hint="eastAsia" w:ascii="宋体" w:hAnsi="宋体" w:eastAsia="仿宋_GB2312" w:cs="仿宋_GB2312"/>
          <w:color w:val="auto"/>
          <w:spacing w:val="6"/>
          <w:sz w:val="30"/>
          <w:szCs w:val="30"/>
          <w:highlight w:val="none"/>
          <w:lang w:val="en-US" w:eastAsia="zh-CN"/>
        </w:rPr>
        <w:t>组织开展技术创新；激励家电生产企业落实生产者责任，逐步提高处理产物梯次利用或再生比例，提升资源环境效益</w:t>
      </w:r>
      <w:r>
        <w:rPr>
          <w:rFonts w:hint="eastAsia" w:ascii="宋体" w:hAnsi="宋体" w:eastAsia="仿宋_GB2312" w:cs="仿宋_GB2312"/>
          <w:color w:val="auto"/>
          <w:spacing w:val="6"/>
          <w:sz w:val="30"/>
          <w:szCs w:val="30"/>
          <w:highlight w:val="none"/>
        </w:rPr>
        <w:t>。</w:t>
      </w:r>
    </w:p>
    <w:p w14:paraId="4332CB95">
      <w:pPr>
        <w:keepNext w:val="0"/>
        <w:keepLines w:val="0"/>
        <w:pageBreakBefore w:val="0"/>
        <w:widowControl w:val="0"/>
        <w:pBdr>
          <w:top w:val="none" w:color="auto" w:sz="0" w:space="0"/>
          <w:bottom w:val="none" w:color="auto" w:sz="0" w:space="0"/>
        </w:pBdr>
        <w:kinsoku/>
        <w:wordWrap/>
        <w:overflowPunct w:val="0"/>
        <w:topLinePunct w:val="0"/>
        <w:autoSpaceDE/>
        <w:autoSpaceDN/>
        <w:bidi w:val="0"/>
        <w:adjustRightInd/>
        <w:snapToGrid/>
        <w:spacing w:after="0" w:line="579" w:lineRule="exact"/>
        <w:ind w:left="0" w:firstLine="624" w:firstLineChars="200"/>
        <w:jc w:val="both"/>
        <w:textAlignment w:val="auto"/>
        <w:rPr>
          <w:rFonts w:hint="eastAsia" w:ascii="宋体" w:hAnsi="宋体" w:eastAsia="仿宋_GB2312" w:cs="仿宋_GB2312"/>
          <w:b w:val="0"/>
          <w:bCs w:val="0"/>
          <w:color w:val="auto"/>
          <w:spacing w:val="6"/>
          <w:sz w:val="30"/>
          <w:szCs w:val="30"/>
          <w:highlight w:val="none"/>
        </w:rPr>
      </w:pPr>
      <w:r>
        <w:rPr>
          <w:rFonts w:hint="eastAsia" w:ascii="宋体" w:hAnsi="宋体" w:eastAsia="仿宋_GB2312" w:cs="仿宋_GB2312"/>
          <w:color w:val="auto"/>
          <w:spacing w:val="6"/>
          <w:sz w:val="30"/>
          <w:szCs w:val="30"/>
          <w:highlight w:val="none"/>
        </w:rPr>
        <w:t>（</w:t>
      </w:r>
      <w:r>
        <w:rPr>
          <w:rFonts w:hint="eastAsia" w:ascii="宋体" w:hAnsi="宋体" w:eastAsia="仿宋_GB2312" w:cs="仿宋_GB2312"/>
          <w:color w:val="auto"/>
          <w:spacing w:val="6"/>
          <w:sz w:val="30"/>
          <w:szCs w:val="30"/>
          <w:highlight w:val="none"/>
          <w:lang w:val="en-US" w:eastAsia="zh-CN"/>
        </w:rPr>
        <w:t>六</w:t>
      </w:r>
      <w:r>
        <w:rPr>
          <w:rFonts w:hint="eastAsia" w:ascii="宋体" w:hAnsi="宋体" w:eastAsia="仿宋_GB2312" w:cs="仿宋_GB2312"/>
          <w:color w:val="auto"/>
          <w:spacing w:val="6"/>
          <w:sz w:val="30"/>
          <w:szCs w:val="30"/>
          <w:highlight w:val="none"/>
        </w:rPr>
        <w:t>）加强新旧政策衔接，支持行业平稳发展。</w:t>
      </w:r>
    </w:p>
    <w:p w14:paraId="55E99ABA">
      <w:pPr>
        <w:keepNext w:val="0"/>
        <w:keepLines w:val="0"/>
        <w:pageBreakBefore w:val="0"/>
        <w:widowControl w:val="0"/>
        <w:pBdr>
          <w:top w:val="none" w:color="auto" w:sz="0" w:space="0"/>
          <w:bottom w:val="none" w:color="auto" w:sz="0" w:space="0"/>
        </w:pBdr>
        <w:kinsoku/>
        <w:wordWrap/>
        <w:overflowPunct w:val="0"/>
        <w:topLinePunct w:val="0"/>
        <w:autoSpaceDE/>
        <w:autoSpaceDN/>
        <w:bidi w:val="0"/>
        <w:adjustRightInd/>
        <w:snapToGrid/>
        <w:spacing w:after="0" w:line="579" w:lineRule="exact"/>
        <w:ind w:left="0" w:firstLine="624" w:firstLineChars="200"/>
        <w:jc w:val="both"/>
        <w:textAlignment w:val="auto"/>
        <w:rPr>
          <w:rFonts w:hint="eastAsia" w:ascii="宋体" w:hAnsi="宋体" w:eastAsia="仿宋_GB2312" w:cs="仿宋_GB2312"/>
          <w:color w:val="auto"/>
          <w:spacing w:val="6"/>
          <w:sz w:val="30"/>
          <w:szCs w:val="30"/>
          <w:highlight w:val="none"/>
        </w:rPr>
      </w:pPr>
      <w:r>
        <w:rPr>
          <w:rFonts w:hint="eastAsia" w:ascii="宋体" w:hAnsi="宋体" w:eastAsia="黑体" w:cs="黑体"/>
          <w:color w:val="auto"/>
          <w:spacing w:val="6"/>
          <w:sz w:val="30"/>
          <w:szCs w:val="30"/>
          <w:highlight w:val="none"/>
          <w:lang w:val="en-US" w:eastAsia="zh-CN"/>
        </w:rPr>
        <w:t>第四条</w:t>
      </w:r>
      <w:r>
        <w:rPr>
          <w:rFonts w:hint="eastAsia" w:ascii="宋体" w:hAnsi="宋体" w:eastAsia="黑体" w:cs="黑体"/>
          <w:color w:val="auto"/>
          <w:spacing w:val="6"/>
          <w:sz w:val="30"/>
          <w:szCs w:val="30"/>
          <w:highlight w:val="none"/>
          <w:u w:val="none"/>
          <w:lang w:val="en-US" w:eastAsia="zh-CN"/>
        </w:rPr>
        <w:t xml:space="preserve">  </w:t>
      </w:r>
      <w:r>
        <w:rPr>
          <w:rFonts w:hint="eastAsia" w:ascii="宋体" w:hAnsi="宋体" w:eastAsia="仿宋_GB2312" w:cs="仿宋_GB2312"/>
          <w:color w:val="auto"/>
          <w:spacing w:val="6"/>
          <w:sz w:val="30"/>
          <w:szCs w:val="30"/>
          <w:highlight w:val="none"/>
        </w:rPr>
        <w:t>专项资金</w:t>
      </w:r>
      <w:r>
        <w:rPr>
          <w:rFonts w:hint="eastAsia" w:ascii="宋体" w:hAnsi="宋体" w:eastAsia="仿宋_GB2312" w:cs="仿宋_GB2312"/>
          <w:color w:val="auto"/>
          <w:spacing w:val="6"/>
          <w:sz w:val="30"/>
          <w:szCs w:val="30"/>
          <w:highlight w:val="none"/>
          <w:lang w:val="en-US" w:eastAsia="zh-CN"/>
        </w:rPr>
        <w:t>预算</w:t>
      </w:r>
      <w:r>
        <w:rPr>
          <w:rFonts w:hint="eastAsia" w:ascii="宋体" w:hAnsi="宋体" w:eastAsia="仿宋_GB2312" w:cs="仿宋_GB2312"/>
          <w:color w:val="auto"/>
          <w:spacing w:val="6"/>
          <w:sz w:val="30"/>
          <w:szCs w:val="30"/>
          <w:highlight w:val="none"/>
        </w:rPr>
        <w:t>由省财政厅会同</w:t>
      </w:r>
      <w:r>
        <w:rPr>
          <w:rFonts w:hint="eastAsia" w:ascii="宋体" w:hAnsi="宋体" w:eastAsia="仿宋_GB2312" w:cs="仿宋_GB2312"/>
          <w:color w:val="auto"/>
          <w:spacing w:val="6"/>
          <w:sz w:val="30"/>
          <w:szCs w:val="30"/>
          <w:highlight w:val="none"/>
          <w:lang w:val="en-US" w:eastAsia="zh-CN"/>
        </w:rPr>
        <w:t>省</w:t>
      </w:r>
      <w:r>
        <w:rPr>
          <w:rFonts w:hint="eastAsia" w:ascii="宋体" w:hAnsi="宋体" w:eastAsia="仿宋_GB2312" w:cs="仿宋_GB2312"/>
          <w:color w:val="auto"/>
          <w:spacing w:val="6"/>
          <w:sz w:val="30"/>
          <w:szCs w:val="30"/>
          <w:highlight w:val="none"/>
        </w:rPr>
        <w:t>生态环境厅负责管理。</w:t>
      </w:r>
    </w:p>
    <w:p w14:paraId="17E14F9D">
      <w:pPr>
        <w:keepNext w:val="0"/>
        <w:keepLines w:val="0"/>
        <w:pageBreakBefore w:val="0"/>
        <w:widowControl w:val="0"/>
        <w:pBdr>
          <w:top w:val="none" w:color="auto" w:sz="0" w:space="0"/>
          <w:bottom w:val="none" w:color="auto" w:sz="0" w:space="0"/>
        </w:pBdr>
        <w:kinsoku/>
        <w:wordWrap/>
        <w:overflowPunct w:val="0"/>
        <w:topLinePunct w:val="0"/>
        <w:autoSpaceDE/>
        <w:autoSpaceDN/>
        <w:bidi w:val="0"/>
        <w:adjustRightInd/>
        <w:snapToGrid/>
        <w:spacing w:after="0" w:line="579" w:lineRule="exact"/>
        <w:ind w:left="0" w:firstLine="624" w:firstLineChars="200"/>
        <w:jc w:val="both"/>
        <w:textAlignment w:val="auto"/>
        <w:rPr>
          <w:rFonts w:hint="eastAsia" w:ascii="宋体" w:hAnsi="宋体" w:eastAsia="仿宋_GB2312" w:cs="仿宋_GB2312"/>
          <w:color w:val="auto"/>
          <w:spacing w:val="6"/>
          <w:sz w:val="30"/>
          <w:szCs w:val="30"/>
          <w:highlight w:val="none"/>
        </w:rPr>
      </w:pPr>
      <w:r>
        <w:rPr>
          <w:rFonts w:hint="eastAsia" w:ascii="宋体" w:hAnsi="宋体" w:eastAsia="仿宋_GB2312" w:cs="仿宋_GB2312"/>
          <w:color w:val="auto"/>
          <w:spacing w:val="6"/>
          <w:sz w:val="30"/>
          <w:szCs w:val="30"/>
          <w:highlight w:val="none"/>
        </w:rPr>
        <w:t>省财政厅负责</w:t>
      </w:r>
      <w:r>
        <w:rPr>
          <w:rFonts w:hint="eastAsia" w:ascii="宋体" w:hAnsi="宋体" w:eastAsia="仿宋_GB2312" w:cs="仿宋_GB2312"/>
          <w:color w:val="auto"/>
          <w:spacing w:val="6"/>
          <w:sz w:val="30"/>
          <w:szCs w:val="30"/>
          <w:highlight w:val="none"/>
          <w:lang w:val="en-US" w:eastAsia="zh-CN"/>
        </w:rPr>
        <w:t>审核专项资金分配建议方案</w:t>
      </w:r>
      <w:r>
        <w:rPr>
          <w:rFonts w:hint="eastAsia" w:ascii="宋体" w:hAnsi="宋体" w:eastAsia="仿宋_GB2312" w:cs="仿宋_GB2312"/>
          <w:color w:val="auto"/>
          <w:spacing w:val="6"/>
          <w:sz w:val="30"/>
          <w:szCs w:val="30"/>
          <w:highlight w:val="none"/>
          <w:lang w:eastAsia="zh-CN"/>
        </w:rPr>
        <w:t>，</w:t>
      </w:r>
      <w:r>
        <w:rPr>
          <w:rFonts w:hint="eastAsia" w:ascii="宋体" w:hAnsi="宋体" w:eastAsia="仿宋_GB2312" w:cs="仿宋_GB2312"/>
          <w:color w:val="auto"/>
          <w:spacing w:val="6"/>
          <w:sz w:val="30"/>
          <w:szCs w:val="30"/>
          <w:highlight w:val="none"/>
          <w:lang w:val="en-US" w:eastAsia="zh-CN"/>
        </w:rPr>
        <w:t>分配专项资金，</w:t>
      </w:r>
      <w:r>
        <w:rPr>
          <w:rFonts w:hint="eastAsia" w:ascii="宋体" w:hAnsi="宋体" w:eastAsia="仿宋_GB2312" w:cs="仿宋_GB2312"/>
          <w:color w:val="auto"/>
          <w:spacing w:val="6"/>
          <w:sz w:val="30"/>
          <w:szCs w:val="30"/>
          <w:highlight w:val="none"/>
        </w:rPr>
        <w:t>组织全过程预算绩效管理</w:t>
      </w:r>
      <w:r>
        <w:rPr>
          <w:rFonts w:hint="eastAsia" w:ascii="宋体" w:hAnsi="宋体" w:eastAsia="仿宋_GB2312" w:cs="仿宋_GB2312"/>
          <w:color w:val="auto"/>
          <w:spacing w:val="6"/>
          <w:sz w:val="30"/>
          <w:szCs w:val="30"/>
          <w:highlight w:val="none"/>
          <w:lang w:eastAsia="zh-CN"/>
        </w:rPr>
        <w:t>，</w:t>
      </w:r>
      <w:r>
        <w:rPr>
          <w:rFonts w:hint="eastAsia" w:ascii="宋体" w:hAnsi="宋体" w:eastAsia="仿宋_GB2312" w:cs="仿宋_GB2312"/>
          <w:color w:val="auto"/>
          <w:spacing w:val="6"/>
          <w:sz w:val="30"/>
          <w:szCs w:val="30"/>
          <w:highlight w:val="none"/>
          <w:lang w:val="en-US" w:eastAsia="zh-CN"/>
        </w:rPr>
        <w:t>指导地方开展专项资金预算管理等工作</w:t>
      </w:r>
      <w:r>
        <w:rPr>
          <w:rFonts w:hint="eastAsia" w:ascii="宋体" w:hAnsi="宋体" w:eastAsia="仿宋_GB2312" w:cs="仿宋_GB2312"/>
          <w:color w:val="auto"/>
          <w:spacing w:val="6"/>
          <w:sz w:val="30"/>
          <w:szCs w:val="30"/>
          <w:highlight w:val="none"/>
        </w:rPr>
        <w:t>。</w:t>
      </w:r>
    </w:p>
    <w:p w14:paraId="6F05BD71">
      <w:pPr>
        <w:keepNext w:val="0"/>
        <w:keepLines w:val="0"/>
        <w:pageBreakBefore w:val="0"/>
        <w:widowControl w:val="0"/>
        <w:pBdr>
          <w:top w:val="none" w:color="auto" w:sz="0" w:space="0"/>
          <w:bottom w:val="none" w:color="auto" w:sz="0" w:space="0"/>
        </w:pBdr>
        <w:kinsoku/>
        <w:wordWrap/>
        <w:overflowPunct w:val="0"/>
        <w:topLinePunct w:val="0"/>
        <w:autoSpaceDE/>
        <w:autoSpaceDN/>
        <w:bidi w:val="0"/>
        <w:adjustRightInd/>
        <w:snapToGrid/>
        <w:spacing w:after="0" w:line="579" w:lineRule="exact"/>
        <w:ind w:left="0" w:firstLine="624" w:firstLineChars="200"/>
        <w:jc w:val="both"/>
        <w:textAlignment w:val="auto"/>
        <w:rPr>
          <w:rFonts w:hint="eastAsia" w:ascii="宋体" w:hAnsi="宋体" w:eastAsia="仿宋_GB2312" w:cs="仿宋_GB2312"/>
          <w:color w:val="auto"/>
          <w:spacing w:val="6"/>
          <w:sz w:val="30"/>
          <w:szCs w:val="30"/>
          <w:highlight w:val="none"/>
        </w:rPr>
      </w:pPr>
      <w:r>
        <w:rPr>
          <w:rFonts w:hint="eastAsia" w:ascii="宋体" w:hAnsi="宋体" w:eastAsia="仿宋_GB2312" w:cs="仿宋_GB2312"/>
          <w:color w:val="auto"/>
          <w:spacing w:val="6"/>
          <w:sz w:val="30"/>
          <w:szCs w:val="30"/>
          <w:highlight w:val="none"/>
        </w:rPr>
        <w:t>省生态环境厅负责指导</w:t>
      </w:r>
      <w:r>
        <w:rPr>
          <w:rFonts w:hint="eastAsia" w:ascii="宋体" w:hAnsi="宋体" w:eastAsia="仿宋_GB2312" w:cs="仿宋_GB2312"/>
          <w:color w:val="auto"/>
          <w:spacing w:val="6"/>
          <w:sz w:val="30"/>
          <w:szCs w:val="30"/>
          <w:highlight w:val="none"/>
          <w:lang w:val="en-US" w:eastAsia="zh-CN"/>
        </w:rPr>
        <w:t>相关</w:t>
      </w:r>
      <w:r>
        <w:rPr>
          <w:rFonts w:hint="eastAsia" w:ascii="宋体" w:hAnsi="宋体" w:eastAsia="仿宋_GB2312" w:cs="仿宋_GB2312"/>
          <w:color w:val="auto"/>
          <w:spacing w:val="6"/>
          <w:sz w:val="30"/>
          <w:szCs w:val="30"/>
          <w:highlight w:val="none"/>
        </w:rPr>
        <w:t>州</w:t>
      </w:r>
      <w:r>
        <w:rPr>
          <w:rFonts w:hint="eastAsia" w:ascii="宋体" w:hAnsi="宋体" w:eastAsia="仿宋_GB2312" w:cs="仿宋_GB2312"/>
          <w:color w:val="auto"/>
          <w:spacing w:val="6"/>
          <w:sz w:val="30"/>
          <w:szCs w:val="30"/>
          <w:highlight w:val="none"/>
          <w:lang w:eastAsia="zh-CN"/>
        </w:rPr>
        <w:t>（</w:t>
      </w:r>
      <w:r>
        <w:rPr>
          <w:rFonts w:hint="eastAsia" w:ascii="宋体" w:hAnsi="宋体" w:eastAsia="仿宋_GB2312" w:cs="仿宋_GB2312"/>
          <w:color w:val="auto"/>
          <w:spacing w:val="6"/>
          <w:sz w:val="30"/>
          <w:szCs w:val="30"/>
          <w:highlight w:val="none"/>
        </w:rPr>
        <w:t>市</w:t>
      </w:r>
      <w:r>
        <w:rPr>
          <w:rFonts w:hint="eastAsia" w:ascii="宋体" w:hAnsi="宋体" w:eastAsia="仿宋_GB2312" w:cs="仿宋_GB2312"/>
          <w:color w:val="auto"/>
          <w:spacing w:val="6"/>
          <w:sz w:val="30"/>
          <w:szCs w:val="30"/>
          <w:highlight w:val="none"/>
          <w:lang w:eastAsia="zh-CN"/>
        </w:rPr>
        <w:t>）</w:t>
      </w:r>
      <w:r>
        <w:rPr>
          <w:rFonts w:hint="eastAsia" w:ascii="宋体" w:hAnsi="宋体" w:eastAsia="仿宋_GB2312" w:cs="仿宋_GB2312"/>
          <w:color w:val="auto"/>
          <w:spacing w:val="6"/>
          <w:sz w:val="30"/>
          <w:szCs w:val="30"/>
          <w:highlight w:val="none"/>
        </w:rPr>
        <w:t>开展废弃电器电子产品处理</w:t>
      </w:r>
      <w:r>
        <w:rPr>
          <w:rFonts w:hint="eastAsia" w:ascii="宋体" w:hAnsi="宋体" w:eastAsia="仿宋_GB2312" w:cs="仿宋_GB2312"/>
          <w:color w:val="auto"/>
          <w:spacing w:val="6"/>
          <w:sz w:val="30"/>
          <w:szCs w:val="30"/>
          <w:highlight w:val="none"/>
          <w:lang w:eastAsia="zh-CN"/>
        </w:rPr>
        <w:t>的</w:t>
      </w:r>
      <w:r>
        <w:rPr>
          <w:rFonts w:hint="eastAsia" w:ascii="宋体" w:hAnsi="宋体" w:eastAsia="仿宋_GB2312" w:cs="仿宋_GB2312"/>
          <w:color w:val="auto"/>
          <w:spacing w:val="6"/>
          <w:sz w:val="30"/>
          <w:szCs w:val="30"/>
          <w:highlight w:val="none"/>
        </w:rPr>
        <w:t>监督管理，落实废弃电器电子产品处理的政策措施</w:t>
      </w:r>
      <w:r>
        <w:rPr>
          <w:rFonts w:hint="eastAsia" w:ascii="宋体" w:hAnsi="宋体" w:eastAsia="仿宋_GB2312" w:cs="仿宋_GB2312"/>
          <w:color w:val="auto"/>
          <w:spacing w:val="6"/>
          <w:sz w:val="30"/>
          <w:szCs w:val="30"/>
          <w:highlight w:val="none"/>
          <w:lang w:eastAsia="zh-CN"/>
        </w:rPr>
        <w:t>，</w:t>
      </w:r>
      <w:r>
        <w:rPr>
          <w:rFonts w:hint="eastAsia" w:ascii="宋体" w:hAnsi="宋体" w:eastAsia="仿宋_GB2312" w:cs="仿宋_GB2312"/>
          <w:color w:val="auto"/>
          <w:spacing w:val="6"/>
          <w:sz w:val="30"/>
          <w:szCs w:val="30"/>
          <w:highlight w:val="none"/>
          <w:lang w:val="en-US" w:eastAsia="zh-CN"/>
        </w:rPr>
        <w:t>编制专项资金分配建议方案，</w:t>
      </w:r>
      <w:r>
        <w:rPr>
          <w:rFonts w:hint="eastAsia" w:ascii="宋体" w:hAnsi="宋体" w:eastAsia="仿宋_GB2312" w:cs="仿宋_GB2312"/>
          <w:color w:val="auto"/>
          <w:spacing w:val="6"/>
          <w:sz w:val="30"/>
          <w:szCs w:val="30"/>
          <w:highlight w:val="none"/>
        </w:rPr>
        <w:t>开展</w:t>
      </w:r>
      <w:r>
        <w:rPr>
          <w:rFonts w:hint="eastAsia" w:ascii="宋体" w:hAnsi="宋体" w:eastAsia="仿宋_GB2312" w:cs="仿宋_GB2312"/>
          <w:color w:val="auto"/>
          <w:spacing w:val="6"/>
          <w:sz w:val="30"/>
          <w:szCs w:val="30"/>
          <w:highlight w:val="none"/>
          <w:lang w:val="en-US" w:eastAsia="zh-CN"/>
        </w:rPr>
        <w:t>回收处理规范性审核</w:t>
      </w:r>
      <w:r>
        <w:rPr>
          <w:rFonts w:hint="eastAsia" w:ascii="宋体" w:hAnsi="宋体" w:eastAsia="仿宋_GB2312" w:cs="仿宋_GB2312"/>
          <w:color w:val="auto"/>
          <w:spacing w:val="6"/>
          <w:sz w:val="30"/>
          <w:szCs w:val="30"/>
          <w:highlight w:val="none"/>
        </w:rPr>
        <w:t>，</w:t>
      </w:r>
      <w:r>
        <w:rPr>
          <w:rFonts w:hint="eastAsia" w:ascii="宋体" w:hAnsi="宋体" w:eastAsia="仿宋_GB2312" w:cs="仿宋_GB2312"/>
          <w:color w:val="auto"/>
          <w:spacing w:val="6"/>
          <w:sz w:val="30"/>
          <w:szCs w:val="30"/>
          <w:highlight w:val="none"/>
          <w:lang w:val="en-US" w:eastAsia="zh-CN"/>
        </w:rPr>
        <w:t>会同省财政厅做好信息公开，实施</w:t>
      </w:r>
      <w:r>
        <w:rPr>
          <w:rFonts w:hint="eastAsia" w:ascii="宋体" w:hAnsi="宋体" w:eastAsia="仿宋_GB2312" w:cs="仿宋_GB2312"/>
          <w:color w:val="auto"/>
          <w:spacing w:val="6"/>
          <w:sz w:val="30"/>
          <w:szCs w:val="30"/>
          <w:highlight w:val="none"/>
        </w:rPr>
        <w:t>专项资金全过程预算绩效管理。</w:t>
      </w:r>
    </w:p>
    <w:p w14:paraId="7614C547">
      <w:pPr>
        <w:pStyle w:val="2"/>
        <w:keepNext w:val="0"/>
        <w:keepLines w:val="0"/>
        <w:pageBreakBefore w:val="0"/>
        <w:widowControl w:val="0"/>
        <w:pBdr>
          <w:top w:val="none" w:color="auto" w:sz="0" w:space="0"/>
          <w:bottom w:val="none" w:color="auto" w:sz="0" w:space="0"/>
        </w:pBdr>
        <w:kinsoku/>
        <w:wordWrap/>
        <w:overflowPunct w:val="0"/>
        <w:topLinePunct w:val="0"/>
        <w:autoSpaceDE/>
        <w:autoSpaceDN/>
        <w:bidi w:val="0"/>
        <w:adjustRightInd/>
        <w:snapToGrid/>
        <w:spacing w:after="0" w:line="579" w:lineRule="exact"/>
        <w:ind w:left="0" w:leftChars="0" w:firstLine="0" w:firstLineChars="0"/>
        <w:jc w:val="center"/>
        <w:textAlignment w:val="auto"/>
        <w:rPr>
          <w:rFonts w:hint="eastAsia" w:ascii="宋体" w:hAnsi="宋体" w:eastAsia="方正小标宋简体" w:cs="方正小标宋简体"/>
          <w:color w:val="auto"/>
          <w:spacing w:val="6"/>
          <w:sz w:val="30"/>
          <w:szCs w:val="30"/>
        </w:rPr>
      </w:pPr>
    </w:p>
    <w:p w14:paraId="24BF1866">
      <w:pPr>
        <w:keepNext w:val="0"/>
        <w:keepLines w:val="0"/>
        <w:pageBreakBefore w:val="0"/>
        <w:widowControl w:val="0"/>
        <w:pBdr>
          <w:top w:val="none" w:color="auto" w:sz="0" w:space="0"/>
          <w:bottom w:val="none" w:color="auto" w:sz="0" w:space="0"/>
        </w:pBdr>
        <w:kinsoku/>
        <w:wordWrap/>
        <w:overflowPunct w:val="0"/>
        <w:topLinePunct w:val="0"/>
        <w:autoSpaceDE/>
        <w:autoSpaceDN/>
        <w:bidi w:val="0"/>
        <w:adjustRightInd/>
        <w:snapToGrid/>
        <w:spacing w:after="0" w:line="579" w:lineRule="exact"/>
        <w:ind w:left="0"/>
        <w:jc w:val="center"/>
        <w:textAlignment w:val="auto"/>
        <w:rPr>
          <w:rFonts w:hint="eastAsia" w:ascii="宋体" w:hAnsi="宋体" w:eastAsia="方正小标宋简体" w:cs="方正小标宋简体"/>
          <w:color w:val="auto"/>
          <w:spacing w:val="6"/>
          <w:sz w:val="30"/>
          <w:szCs w:val="30"/>
          <w:highlight w:val="none"/>
          <w:lang w:eastAsia="zh-CN"/>
        </w:rPr>
      </w:pPr>
      <w:r>
        <w:rPr>
          <w:rFonts w:hint="eastAsia" w:ascii="宋体" w:hAnsi="宋体" w:eastAsia="方正小标宋简体" w:cs="方正小标宋简体"/>
          <w:color w:val="auto"/>
          <w:spacing w:val="6"/>
          <w:sz w:val="30"/>
          <w:szCs w:val="30"/>
          <w:highlight w:val="none"/>
        </w:rPr>
        <w:t xml:space="preserve">第二章 </w:t>
      </w:r>
      <w:r>
        <w:rPr>
          <w:rFonts w:hint="eastAsia" w:ascii="宋体" w:hAnsi="宋体" w:eastAsia="方正小标宋简体" w:cs="方正小标宋简体"/>
          <w:color w:val="auto"/>
          <w:spacing w:val="6"/>
          <w:sz w:val="30"/>
          <w:szCs w:val="30"/>
          <w:highlight w:val="none"/>
          <w:lang w:val="en-US" w:eastAsia="zh-CN"/>
        </w:rPr>
        <w:t xml:space="preserve"> </w:t>
      </w:r>
      <w:r>
        <w:rPr>
          <w:rFonts w:hint="eastAsia" w:ascii="宋体" w:hAnsi="宋体" w:eastAsia="方正小标宋简体" w:cs="方正小标宋简体"/>
          <w:color w:val="auto"/>
          <w:spacing w:val="6"/>
          <w:sz w:val="30"/>
          <w:szCs w:val="30"/>
          <w:highlight w:val="none"/>
        </w:rPr>
        <w:t>支持</w:t>
      </w:r>
      <w:r>
        <w:rPr>
          <w:rFonts w:hint="eastAsia" w:ascii="宋体" w:hAnsi="宋体" w:eastAsia="方正小标宋简体" w:cs="方正小标宋简体"/>
          <w:color w:val="auto"/>
          <w:spacing w:val="6"/>
          <w:sz w:val="30"/>
          <w:szCs w:val="30"/>
          <w:highlight w:val="none"/>
          <w:lang w:val="en-US" w:eastAsia="zh-CN"/>
        </w:rPr>
        <w:t>范围</w:t>
      </w:r>
    </w:p>
    <w:p w14:paraId="2D7934A3">
      <w:pPr>
        <w:keepNext w:val="0"/>
        <w:keepLines w:val="0"/>
        <w:pageBreakBefore w:val="0"/>
        <w:widowControl w:val="0"/>
        <w:pBdr>
          <w:top w:val="none" w:color="auto" w:sz="0" w:space="0"/>
          <w:bottom w:val="none" w:color="auto" w:sz="0" w:space="0"/>
        </w:pBdr>
        <w:kinsoku/>
        <w:wordWrap/>
        <w:overflowPunct w:val="0"/>
        <w:topLinePunct w:val="0"/>
        <w:autoSpaceDE/>
        <w:autoSpaceDN/>
        <w:bidi w:val="0"/>
        <w:adjustRightInd/>
        <w:snapToGrid/>
        <w:spacing w:after="0" w:line="579" w:lineRule="exact"/>
        <w:jc w:val="center"/>
        <w:textAlignment w:val="auto"/>
        <w:rPr>
          <w:rFonts w:hint="eastAsia" w:ascii="宋体" w:hAnsi="宋体" w:eastAsia="方正小标宋简体" w:cs="方正小标宋简体"/>
          <w:color w:val="auto"/>
          <w:spacing w:val="6"/>
          <w:sz w:val="30"/>
          <w:szCs w:val="30"/>
          <w:highlight w:val="none"/>
        </w:rPr>
      </w:pPr>
    </w:p>
    <w:p w14:paraId="0A0672D9">
      <w:pPr>
        <w:keepNext w:val="0"/>
        <w:keepLines w:val="0"/>
        <w:pageBreakBefore w:val="0"/>
        <w:widowControl w:val="0"/>
        <w:pBdr>
          <w:top w:val="none" w:color="auto" w:sz="0" w:space="0"/>
          <w:bottom w:val="none" w:color="auto" w:sz="0" w:space="0"/>
        </w:pBdr>
        <w:kinsoku/>
        <w:wordWrap/>
        <w:overflowPunct w:val="0"/>
        <w:topLinePunct w:val="0"/>
        <w:autoSpaceDE/>
        <w:autoSpaceDN/>
        <w:bidi w:val="0"/>
        <w:adjustRightInd/>
        <w:snapToGrid/>
        <w:spacing w:after="0" w:line="579" w:lineRule="exact"/>
        <w:ind w:left="0" w:firstLine="624" w:firstLineChars="200"/>
        <w:jc w:val="both"/>
        <w:textAlignment w:val="auto"/>
        <w:rPr>
          <w:rFonts w:hint="eastAsia" w:ascii="宋体" w:hAnsi="宋体" w:eastAsia="方正仿宋_GBK" w:cs="方正仿宋_GBK"/>
          <w:color w:val="auto"/>
          <w:spacing w:val="6"/>
          <w:sz w:val="30"/>
          <w:szCs w:val="30"/>
          <w:highlight w:val="none"/>
          <w:lang w:val="en-US" w:eastAsia="zh-CN"/>
        </w:rPr>
      </w:pPr>
      <w:r>
        <w:rPr>
          <w:rFonts w:hint="eastAsia" w:ascii="宋体" w:hAnsi="宋体" w:eastAsia="黑体" w:cs="黑体"/>
          <w:color w:val="auto"/>
          <w:spacing w:val="6"/>
          <w:sz w:val="30"/>
          <w:szCs w:val="30"/>
          <w:highlight w:val="none"/>
        </w:rPr>
        <w:t>第</w:t>
      </w:r>
      <w:r>
        <w:rPr>
          <w:rFonts w:hint="eastAsia" w:ascii="宋体" w:hAnsi="宋体" w:eastAsia="黑体" w:cs="黑体"/>
          <w:color w:val="auto"/>
          <w:spacing w:val="6"/>
          <w:sz w:val="30"/>
          <w:szCs w:val="30"/>
          <w:highlight w:val="none"/>
          <w:lang w:val="en-US" w:eastAsia="zh-CN"/>
        </w:rPr>
        <w:t>五</w:t>
      </w:r>
      <w:r>
        <w:rPr>
          <w:rFonts w:hint="eastAsia" w:ascii="宋体" w:hAnsi="宋体" w:eastAsia="黑体" w:cs="黑体"/>
          <w:color w:val="auto"/>
          <w:spacing w:val="6"/>
          <w:sz w:val="30"/>
          <w:szCs w:val="30"/>
          <w:highlight w:val="none"/>
        </w:rPr>
        <w:t xml:space="preserve">条 </w:t>
      </w:r>
      <w:r>
        <w:rPr>
          <w:rFonts w:hint="eastAsia" w:ascii="宋体" w:hAnsi="宋体" w:eastAsia="黑体" w:cs="黑体"/>
          <w:color w:val="auto"/>
          <w:spacing w:val="6"/>
          <w:sz w:val="30"/>
          <w:szCs w:val="30"/>
          <w:highlight w:val="none"/>
          <w:lang w:val="en-US" w:eastAsia="zh-CN"/>
        </w:rPr>
        <w:t xml:space="preserve"> </w:t>
      </w:r>
      <w:r>
        <w:rPr>
          <w:rFonts w:hint="eastAsia" w:ascii="宋体" w:hAnsi="宋体" w:eastAsia="方正仿宋_GBK" w:cs="方正仿宋_GBK"/>
          <w:color w:val="auto"/>
          <w:spacing w:val="6"/>
          <w:sz w:val="30"/>
          <w:szCs w:val="30"/>
          <w:highlight w:val="none"/>
        </w:rPr>
        <w:t>具有废弃电器电子产品处理资格</w:t>
      </w:r>
      <w:r>
        <w:rPr>
          <w:rFonts w:hint="eastAsia" w:ascii="宋体" w:hAnsi="宋体" w:eastAsia="方正仿宋_GBK" w:cs="方正仿宋_GBK"/>
          <w:color w:val="auto"/>
          <w:spacing w:val="6"/>
          <w:sz w:val="30"/>
          <w:szCs w:val="30"/>
          <w:highlight w:val="none"/>
          <w:lang w:eastAsia="zh-CN"/>
        </w:rPr>
        <w:t>，</w:t>
      </w:r>
      <w:r>
        <w:rPr>
          <w:rFonts w:hint="eastAsia" w:ascii="宋体" w:hAnsi="宋体" w:eastAsia="方正仿宋_GBK" w:cs="方正仿宋_GBK"/>
          <w:color w:val="auto"/>
          <w:spacing w:val="6"/>
          <w:sz w:val="30"/>
          <w:szCs w:val="30"/>
          <w:highlight w:val="none"/>
        </w:rPr>
        <w:t>满足申请专项资金标准和条件的企业</w:t>
      </w:r>
      <w:r>
        <w:rPr>
          <w:rFonts w:hint="eastAsia" w:ascii="宋体" w:hAnsi="宋体" w:eastAsia="方正仿宋_GBK" w:cs="方正仿宋_GBK"/>
          <w:color w:val="auto"/>
          <w:spacing w:val="6"/>
          <w:sz w:val="30"/>
          <w:szCs w:val="30"/>
          <w:highlight w:val="none"/>
          <w:lang w:val="en-US" w:eastAsia="zh-CN"/>
        </w:rPr>
        <w:t>回收处理</w:t>
      </w:r>
      <w:r>
        <w:rPr>
          <w:rFonts w:hint="eastAsia" w:ascii="宋体" w:hAnsi="宋体" w:eastAsia="方正仿宋_GBK" w:cs="方正仿宋_GBK"/>
          <w:color w:val="auto"/>
          <w:spacing w:val="6"/>
          <w:sz w:val="30"/>
          <w:szCs w:val="30"/>
          <w:highlight w:val="none"/>
        </w:rPr>
        <w:t>列入《废弃电器电子产品处理目录》的电视机、电冰箱、洗衣机、空气调节器、微型计算机等五类产品的</w:t>
      </w:r>
      <w:r>
        <w:rPr>
          <w:rFonts w:hint="eastAsia" w:ascii="宋体" w:hAnsi="宋体" w:eastAsia="方正仿宋_GBK" w:cs="方正仿宋_GBK"/>
          <w:color w:val="auto"/>
          <w:spacing w:val="6"/>
          <w:sz w:val="30"/>
          <w:szCs w:val="30"/>
          <w:highlight w:val="none"/>
          <w:lang w:eastAsia="zh-CN"/>
        </w:rPr>
        <w:t>，</w:t>
      </w:r>
      <w:r>
        <w:rPr>
          <w:rFonts w:hint="eastAsia" w:ascii="宋体" w:hAnsi="宋体" w:eastAsia="方正仿宋_GBK" w:cs="方正仿宋_GBK"/>
          <w:color w:val="auto"/>
          <w:spacing w:val="6"/>
          <w:sz w:val="30"/>
          <w:szCs w:val="30"/>
          <w:highlight w:val="none"/>
          <w:lang w:val="en-US" w:eastAsia="zh-CN"/>
        </w:rPr>
        <w:t>可以给予支持。有关标准和条件按照生态环境部、财政部有关要求确定。专项资金支持的产品种类根据生态环境部、财政部有关政策进行动态调整。</w:t>
      </w:r>
    </w:p>
    <w:p w14:paraId="1358CA86">
      <w:pPr>
        <w:keepNext w:val="0"/>
        <w:keepLines w:val="0"/>
        <w:pageBreakBefore w:val="0"/>
        <w:widowControl w:val="0"/>
        <w:pBdr>
          <w:top w:val="none" w:color="auto" w:sz="0" w:space="0"/>
          <w:bottom w:val="none" w:color="auto" w:sz="0" w:space="0"/>
        </w:pBdr>
        <w:kinsoku/>
        <w:wordWrap/>
        <w:overflowPunct w:val="0"/>
        <w:topLinePunct w:val="0"/>
        <w:autoSpaceDE/>
        <w:autoSpaceDN/>
        <w:bidi w:val="0"/>
        <w:adjustRightInd/>
        <w:snapToGrid/>
        <w:spacing w:after="0" w:line="579" w:lineRule="exact"/>
        <w:ind w:left="0" w:firstLine="624" w:firstLineChars="200"/>
        <w:jc w:val="both"/>
        <w:textAlignment w:val="auto"/>
        <w:rPr>
          <w:rFonts w:hint="eastAsia" w:ascii="宋体" w:hAnsi="宋体" w:eastAsia="仿宋_GB2312" w:cs="仿宋_GB2312"/>
          <w:color w:val="auto"/>
          <w:spacing w:val="6"/>
          <w:sz w:val="30"/>
          <w:szCs w:val="30"/>
          <w:highlight w:val="none"/>
          <w:lang w:val="en-US" w:eastAsia="zh-CN"/>
        </w:rPr>
      </w:pPr>
      <w:r>
        <w:rPr>
          <w:rFonts w:hint="eastAsia" w:ascii="宋体" w:hAnsi="宋体" w:eastAsia="黑体" w:cs="黑体"/>
          <w:color w:val="auto"/>
          <w:spacing w:val="6"/>
          <w:sz w:val="30"/>
          <w:szCs w:val="30"/>
          <w:highlight w:val="none"/>
        </w:rPr>
        <w:t>第</w:t>
      </w:r>
      <w:r>
        <w:rPr>
          <w:rFonts w:hint="eastAsia" w:ascii="宋体" w:hAnsi="宋体" w:eastAsia="黑体" w:cs="黑体"/>
          <w:color w:val="auto"/>
          <w:spacing w:val="6"/>
          <w:sz w:val="30"/>
          <w:szCs w:val="30"/>
          <w:highlight w:val="none"/>
          <w:lang w:val="en-US" w:eastAsia="zh-CN"/>
        </w:rPr>
        <w:t>六</w:t>
      </w:r>
      <w:r>
        <w:rPr>
          <w:rFonts w:hint="eastAsia" w:ascii="宋体" w:hAnsi="宋体" w:eastAsia="黑体" w:cs="黑体"/>
          <w:color w:val="auto"/>
          <w:spacing w:val="6"/>
          <w:sz w:val="30"/>
          <w:szCs w:val="30"/>
          <w:highlight w:val="none"/>
        </w:rPr>
        <w:t xml:space="preserve">条 </w:t>
      </w:r>
      <w:r>
        <w:rPr>
          <w:rFonts w:hint="eastAsia" w:ascii="宋体" w:hAnsi="宋体" w:eastAsia="黑体" w:cs="黑体"/>
          <w:color w:val="auto"/>
          <w:spacing w:val="6"/>
          <w:sz w:val="30"/>
          <w:szCs w:val="30"/>
          <w:highlight w:val="none"/>
          <w:lang w:val="en-US" w:eastAsia="zh-CN"/>
        </w:rPr>
        <w:t xml:space="preserve"> </w:t>
      </w:r>
      <w:r>
        <w:rPr>
          <w:rFonts w:hint="eastAsia" w:ascii="宋体" w:hAnsi="宋体" w:eastAsia="仿宋_GB2312" w:cs="仿宋_GB2312"/>
          <w:color w:val="auto"/>
          <w:spacing w:val="6"/>
          <w:sz w:val="30"/>
          <w:szCs w:val="30"/>
          <w:highlight w:val="none"/>
          <w:lang w:val="en-US" w:eastAsia="zh-CN"/>
        </w:rPr>
        <w:t>2023年12月31日以前的废弃电器电子产品回收处理，按照《废弃电器电子产品处理基金征收使用管理办法》（财综〔2012〕34号），财政部、原环境保护部、国家发展改革委、工业和信息化部公告2015年第91号，《财政部 生态环境部 国家发展改革委 工业和信息化部关于调整废弃电器电子产品处理基金补贴标准的通知》（财税〔2021〕10号）等尚未补贴的，由生态环境部核实核定后，可按照废弃电器电子产品处理基金使用有关规则，安排专项资金分期据实予以支持。</w:t>
      </w:r>
    </w:p>
    <w:p w14:paraId="72F3F0A1">
      <w:pPr>
        <w:pStyle w:val="5"/>
        <w:keepNext w:val="0"/>
        <w:keepLines w:val="0"/>
        <w:pageBreakBefore w:val="0"/>
        <w:widowControl w:val="0"/>
        <w:pBdr>
          <w:top w:val="none" w:color="auto" w:sz="0" w:space="0"/>
          <w:bottom w:val="none" w:color="auto" w:sz="0" w:space="0"/>
        </w:pBdr>
        <w:kinsoku/>
        <w:wordWrap/>
        <w:overflowPunct w:val="0"/>
        <w:topLinePunct w:val="0"/>
        <w:autoSpaceDE/>
        <w:autoSpaceDN/>
        <w:bidi w:val="0"/>
        <w:adjustRightInd/>
        <w:snapToGrid/>
        <w:spacing w:before="0" w:beforeAutospacing="0" w:after="0" w:afterAutospacing="0" w:line="579" w:lineRule="exact"/>
        <w:ind w:left="0" w:firstLine="624" w:firstLineChars="200"/>
        <w:jc w:val="both"/>
        <w:textAlignment w:val="auto"/>
        <w:rPr>
          <w:rFonts w:hint="eastAsia" w:ascii="宋体" w:hAnsi="宋体" w:eastAsia="仿宋_GB2312" w:cs="仿宋_GB2312"/>
          <w:color w:val="auto"/>
          <w:spacing w:val="6"/>
          <w:kern w:val="2"/>
          <w:sz w:val="30"/>
          <w:szCs w:val="30"/>
          <w:highlight w:val="none"/>
          <w:lang w:val="en-US" w:eastAsia="zh-CN" w:bidi="ar-SA"/>
        </w:rPr>
      </w:pPr>
      <w:r>
        <w:rPr>
          <w:rFonts w:hint="eastAsia" w:ascii="宋体" w:hAnsi="宋体" w:eastAsia="黑体" w:cs="黑体"/>
          <w:color w:val="auto"/>
          <w:spacing w:val="6"/>
          <w:sz w:val="30"/>
          <w:szCs w:val="30"/>
          <w:highlight w:val="none"/>
        </w:rPr>
        <w:t>第</w:t>
      </w:r>
      <w:r>
        <w:rPr>
          <w:rFonts w:hint="eastAsia" w:ascii="宋体" w:hAnsi="宋体" w:eastAsia="黑体" w:cs="黑体"/>
          <w:color w:val="auto"/>
          <w:spacing w:val="6"/>
          <w:sz w:val="30"/>
          <w:szCs w:val="30"/>
          <w:highlight w:val="none"/>
          <w:lang w:val="en-US" w:eastAsia="zh-CN"/>
        </w:rPr>
        <w:t>七</w:t>
      </w:r>
      <w:r>
        <w:rPr>
          <w:rFonts w:hint="eastAsia" w:ascii="宋体" w:hAnsi="宋体" w:eastAsia="黑体" w:cs="黑体"/>
          <w:color w:val="auto"/>
          <w:spacing w:val="6"/>
          <w:sz w:val="30"/>
          <w:szCs w:val="30"/>
          <w:highlight w:val="none"/>
        </w:rPr>
        <w:t>条</w:t>
      </w:r>
      <w:r>
        <w:rPr>
          <w:rFonts w:hint="eastAsia" w:ascii="宋体" w:hAnsi="宋体" w:eastAsia="黑体" w:cs="黑体"/>
          <w:color w:val="auto"/>
          <w:spacing w:val="6"/>
          <w:sz w:val="30"/>
          <w:szCs w:val="30"/>
          <w:highlight w:val="none"/>
          <w:lang w:val="en-US" w:eastAsia="zh-CN"/>
        </w:rPr>
        <w:t xml:space="preserve">  </w:t>
      </w:r>
      <w:r>
        <w:rPr>
          <w:rFonts w:hint="eastAsia" w:ascii="宋体" w:hAnsi="宋体" w:eastAsia="仿宋_GB2312" w:cs="仿宋_GB2312"/>
          <w:color w:val="auto"/>
          <w:spacing w:val="6"/>
          <w:kern w:val="2"/>
          <w:sz w:val="30"/>
          <w:szCs w:val="30"/>
          <w:highlight w:val="none"/>
          <w:lang w:val="en-US" w:eastAsia="zh-CN" w:bidi="ar-SA"/>
        </w:rPr>
        <w:t>专项资金用于引导地方政府支持废弃电器电子产品回收处理行业高质量发展，专款专用，任何部门、单位或个人不得擅自改变专项资金用途，不得用于平衡地方财政预算及偿还债务，不得用于行政事业单位的人员经费、机构运转经费等与废弃电器电子产品回收处理无关的支出。</w:t>
      </w:r>
    </w:p>
    <w:p w14:paraId="15187451">
      <w:pPr>
        <w:pStyle w:val="5"/>
        <w:keepNext w:val="0"/>
        <w:keepLines w:val="0"/>
        <w:pageBreakBefore w:val="0"/>
        <w:widowControl w:val="0"/>
        <w:pBdr>
          <w:top w:val="none" w:color="auto" w:sz="0" w:space="0"/>
          <w:bottom w:val="none" w:color="auto" w:sz="0" w:space="0"/>
        </w:pBdr>
        <w:kinsoku/>
        <w:wordWrap/>
        <w:overflowPunct w:val="0"/>
        <w:topLinePunct w:val="0"/>
        <w:autoSpaceDE/>
        <w:autoSpaceDN/>
        <w:bidi w:val="0"/>
        <w:adjustRightInd/>
        <w:snapToGrid/>
        <w:spacing w:before="0" w:beforeAutospacing="0" w:after="0" w:afterAutospacing="0" w:line="579" w:lineRule="exact"/>
        <w:ind w:left="0" w:leftChars="0" w:firstLine="0" w:firstLineChars="0"/>
        <w:jc w:val="center"/>
        <w:textAlignment w:val="auto"/>
        <w:rPr>
          <w:rFonts w:hint="eastAsia" w:ascii="宋体" w:hAnsi="宋体" w:eastAsia="方正小标宋简体" w:cs="方正小标宋简体"/>
          <w:color w:val="auto"/>
          <w:spacing w:val="6"/>
          <w:kern w:val="2"/>
          <w:sz w:val="30"/>
          <w:szCs w:val="30"/>
          <w:highlight w:val="none"/>
          <w:lang w:val="en-US" w:eastAsia="zh-CN" w:bidi="ar-SA"/>
        </w:rPr>
      </w:pPr>
    </w:p>
    <w:p w14:paraId="70806147">
      <w:pPr>
        <w:keepNext w:val="0"/>
        <w:keepLines w:val="0"/>
        <w:pageBreakBefore w:val="0"/>
        <w:widowControl w:val="0"/>
        <w:numPr>
          <w:ilvl w:val="0"/>
          <w:numId w:val="0"/>
        </w:numPr>
        <w:pBdr>
          <w:top w:val="none" w:color="auto" w:sz="0" w:space="0"/>
          <w:bottom w:val="none" w:color="auto" w:sz="0" w:space="0"/>
        </w:pBdr>
        <w:kinsoku/>
        <w:wordWrap/>
        <w:overflowPunct w:val="0"/>
        <w:topLinePunct w:val="0"/>
        <w:autoSpaceDE/>
        <w:autoSpaceDN/>
        <w:bidi w:val="0"/>
        <w:adjustRightInd/>
        <w:snapToGrid/>
        <w:spacing w:after="0" w:line="579" w:lineRule="exact"/>
        <w:jc w:val="center"/>
        <w:textAlignment w:val="auto"/>
        <w:rPr>
          <w:rFonts w:hint="eastAsia" w:ascii="宋体" w:hAnsi="宋体" w:eastAsia="方正小标宋简体" w:cs="方正小标宋简体"/>
          <w:color w:val="auto"/>
          <w:spacing w:val="6"/>
          <w:sz w:val="30"/>
          <w:szCs w:val="30"/>
          <w:highlight w:val="none"/>
          <w:lang w:val="en-US" w:eastAsia="zh-CN"/>
        </w:rPr>
      </w:pPr>
      <w:r>
        <w:rPr>
          <w:rFonts w:hint="eastAsia" w:ascii="宋体" w:hAnsi="宋体" w:eastAsia="方正小标宋简体" w:cs="方正小标宋简体"/>
          <w:color w:val="auto"/>
          <w:spacing w:val="6"/>
          <w:sz w:val="30"/>
          <w:szCs w:val="30"/>
          <w:highlight w:val="none"/>
          <w:lang w:val="en-US" w:eastAsia="zh-CN"/>
        </w:rPr>
        <w:t>第三章  申请程序</w:t>
      </w:r>
    </w:p>
    <w:p w14:paraId="16C81658">
      <w:pPr>
        <w:keepNext w:val="0"/>
        <w:keepLines w:val="0"/>
        <w:pageBreakBefore w:val="0"/>
        <w:widowControl w:val="0"/>
        <w:numPr>
          <w:ilvl w:val="0"/>
          <w:numId w:val="0"/>
        </w:numPr>
        <w:pBdr>
          <w:top w:val="none" w:color="auto" w:sz="0" w:space="0"/>
          <w:bottom w:val="none" w:color="auto" w:sz="0" w:space="0"/>
        </w:pBdr>
        <w:kinsoku/>
        <w:wordWrap/>
        <w:overflowPunct w:val="0"/>
        <w:topLinePunct w:val="0"/>
        <w:autoSpaceDE/>
        <w:autoSpaceDN/>
        <w:bidi w:val="0"/>
        <w:adjustRightInd/>
        <w:snapToGrid/>
        <w:spacing w:after="0" w:line="579" w:lineRule="exact"/>
        <w:jc w:val="center"/>
        <w:textAlignment w:val="auto"/>
        <w:rPr>
          <w:rFonts w:hint="eastAsia" w:ascii="宋体" w:hAnsi="宋体" w:eastAsia="方正小标宋简体" w:cs="方正小标宋简体"/>
          <w:color w:val="auto"/>
          <w:spacing w:val="6"/>
          <w:sz w:val="30"/>
          <w:szCs w:val="30"/>
          <w:highlight w:val="none"/>
          <w:lang w:val="en-US" w:eastAsia="zh-CN"/>
        </w:rPr>
      </w:pPr>
    </w:p>
    <w:p w14:paraId="4BF463E7">
      <w:pPr>
        <w:keepNext w:val="0"/>
        <w:keepLines w:val="0"/>
        <w:pageBreakBefore w:val="0"/>
        <w:widowControl w:val="0"/>
        <w:numPr>
          <w:ilvl w:val="0"/>
          <w:numId w:val="0"/>
        </w:numPr>
        <w:pBdr>
          <w:top w:val="none" w:color="auto" w:sz="0" w:space="0"/>
          <w:bottom w:val="none" w:color="auto" w:sz="0" w:space="0"/>
        </w:pBdr>
        <w:kinsoku/>
        <w:wordWrap/>
        <w:overflowPunct w:val="0"/>
        <w:topLinePunct w:val="0"/>
        <w:autoSpaceDE/>
        <w:autoSpaceDN/>
        <w:bidi w:val="0"/>
        <w:adjustRightInd/>
        <w:snapToGrid/>
        <w:spacing w:after="0" w:line="579" w:lineRule="exact"/>
        <w:ind w:left="0" w:firstLine="624" w:firstLineChars="200"/>
        <w:jc w:val="both"/>
        <w:textAlignment w:val="auto"/>
        <w:rPr>
          <w:rFonts w:hint="eastAsia" w:ascii="宋体" w:hAnsi="宋体" w:eastAsia="仿宋_GB2312" w:cs="仿宋_GB2312"/>
          <w:color w:val="auto"/>
          <w:spacing w:val="6"/>
          <w:sz w:val="30"/>
          <w:szCs w:val="30"/>
          <w:highlight w:val="none"/>
          <w:lang w:val="en-US" w:eastAsia="zh-CN"/>
        </w:rPr>
      </w:pPr>
      <w:r>
        <w:rPr>
          <w:rFonts w:hint="eastAsia" w:ascii="宋体" w:hAnsi="宋体" w:eastAsia="黑体" w:cs="黑体"/>
          <w:color w:val="auto"/>
          <w:spacing w:val="6"/>
          <w:sz w:val="30"/>
          <w:szCs w:val="30"/>
          <w:highlight w:val="none"/>
          <w:lang w:val="en-US" w:eastAsia="zh-CN"/>
        </w:rPr>
        <w:t xml:space="preserve">第八条  </w:t>
      </w:r>
      <w:bookmarkStart w:id="8" w:name="OLE_LINK3"/>
      <w:r>
        <w:rPr>
          <w:rFonts w:hint="eastAsia" w:ascii="宋体" w:hAnsi="宋体" w:eastAsia="仿宋_GB2312" w:cs="仿宋_GB2312"/>
          <w:color w:val="auto"/>
          <w:spacing w:val="6"/>
          <w:sz w:val="30"/>
          <w:szCs w:val="30"/>
          <w:highlight w:val="none"/>
          <w:lang w:val="en-US" w:eastAsia="zh-CN"/>
        </w:rPr>
        <w:t>废弃电器电子产品处理企业</w:t>
      </w:r>
      <w:bookmarkEnd w:id="8"/>
      <w:r>
        <w:rPr>
          <w:rFonts w:hint="eastAsia" w:ascii="宋体" w:hAnsi="宋体" w:eastAsia="仿宋_GB2312" w:cs="仿宋_GB2312"/>
          <w:color w:val="auto"/>
          <w:spacing w:val="6"/>
          <w:sz w:val="30"/>
          <w:szCs w:val="30"/>
          <w:highlight w:val="none"/>
          <w:lang w:val="en-US" w:eastAsia="zh-CN"/>
        </w:rPr>
        <w:t>按要求编制申请专项资金材料并报相关州（市）生态环境局，相关州（市）生态环境局提出意见，于当年2月10日前向省生态环境厅提交相关材料。省生态环境厅、省财政厅按照生态环境部、财政部相关要求，结合相关州（市）生态环境局意见，对企业申请专项资金材料进行核实，于当年3月1日前按要求报送生态环境部和财政部，同时抄送财政部云南监管局。</w:t>
      </w:r>
    </w:p>
    <w:p w14:paraId="67A00965">
      <w:pPr>
        <w:keepNext w:val="0"/>
        <w:keepLines w:val="0"/>
        <w:pageBreakBefore w:val="0"/>
        <w:widowControl w:val="0"/>
        <w:numPr>
          <w:ilvl w:val="0"/>
          <w:numId w:val="0"/>
        </w:numPr>
        <w:pBdr>
          <w:top w:val="none" w:color="auto" w:sz="0" w:space="0"/>
          <w:bottom w:val="none" w:color="auto" w:sz="0" w:space="0"/>
        </w:pBdr>
        <w:kinsoku/>
        <w:wordWrap/>
        <w:overflowPunct w:val="0"/>
        <w:topLinePunct w:val="0"/>
        <w:autoSpaceDE/>
        <w:autoSpaceDN/>
        <w:bidi w:val="0"/>
        <w:adjustRightInd/>
        <w:snapToGrid/>
        <w:spacing w:after="0" w:line="579" w:lineRule="exact"/>
        <w:ind w:left="0" w:firstLine="624" w:firstLineChars="200"/>
        <w:jc w:val="both"/>
        <w:textAlignment w:val="auto"/>
        <w:rPr>
          <w:rFonts w:hint="eastAsia" w:ascii="宋体" w:hAnsi="宋体" w:eastAsia="仿宋_GB2312" w:cs="仿宋_GB2312"/>
          <w:color w:val="auto"/>
          <w:spacing w:val="6"/>
          <w:sz w:val="30"/>
          <w:szCs w:val="30"/>
          <w:highlight w:val="none"/>
          <w:lang w:val="en-US" w:eastAsia="zh-CN"/>
        </w:rPr>
      </w:pPr>
      <w:r>
        <w:rPr>
          <w:rFonts w:hint="eastAsia" w:ascii="宋体" w:hAnsi="宋体" w:eastAsia="仿宋_GB2312" w:cs="仿宋_GB2312"/>
          <w:color w:val="auto"/>
          <w:spacing w:val="6"/>
          <w:sz w:val="30"/>
          <w:szCs w:val="30"/>
          <w:highlight w:val="none"/>
          <w:lang w:val="en-US" w:eastAsia="zh-CN"/>
        </w:rPr>
        <w:t>不符合申领条件的企业，或同一工作内容获得过其他中央财政资金支持的企业，不得申请专项资金支持。</w:t>
      </w:r>
    </w:p>
    <w:p w14:paraId="203049F9">
      <w:pPr>
        <w:keepNext w:val="0"/>
        <w:keepLines w:val="0"/>
        <w:pageBreakBefore w:val="0"/>
        <w:widowControl w:val="0"/>
        <w:numPr>
          <w:ilvl w:val="0"/>
          <w:numId w:val="0"/>
        </w:numPr>
        <w:pBdr>
          <w:top w:val="none" w:color="auto" w:sz="0" w:space="0"/>
          <w:bottom w:val="none" w:color="auto" w:sz="0" w:space="0"/>
        </w:pBdr>
        <w:kinsoku/>
        <w:wordWrap/>
        <w:overflowPunct w:val="0"/>
        <w:topLinePunct w:val="0"/>
        <w:autoSpaceDE/>
        <w:autoSpaceDN/>
        <w:bidi w:val="0"/>
        <w:adjustRightInd/>
        <w:snapToGrid/>
        <w:spacing w:after="0" w:line="579" w:lineRule="exact"/>
        <w:ind w:left="0" w:firstLine="624" w:firstLineChars="200"/>
        <w:jc w:val="both"/>
        <w:textAlignment w:val="auto"/>
        <w:rPr>
          <w:rFonts w:hint="eastAsia" w:ascii="宋体" w:hAnsi="宋体" w:eastAsia="仿宋_GB2312" w:cs="仿宋_GB2312"/>
          <w:color w:val="auto"/>
          <w:spacing w:val="6"/>
          <w:sz w:val="30"/>
          <w:szCs w:val="30"/>
          <w:highlight w:val="none"/>
          <w:lang w:val="en-US" w:eastAsia="zh-CN"/>
        </w:rPr>
      </w:pPr>
      <w:r>
        <w:rPr>
          <w:rFonts w:hint="eastAsia" w:ascii="宋体" w:hAnsi="宋体" w:eastAsia="黑体" w:cs="黑体"/>
          <w:color w:val="auto"/>
          <w:spacing w:val="6"/>
          <w:sz w:val="30"/>
          <w:szCs w:val="30"/>
          <w:highlight w:val="none"/>
          <w:lang w:val="en-US" w:eastAsia="zh-CN"/>
        </w:rPr>
        <w:t xml:space="preserve">第九条  </w:t>
      </w:r>
      <w:r>
        <w:rPr>
          <w:rFonts w:hint="eastAsia" w:ascii="宋体" w:hAnsi="宋体" w:eastAsia="仿宋_GB2312" w:cs="仿宋_GB2312"/>
          <w:color w:val="auto"/>
          <w:spacing w:val="6"/>
          <w:sz w:val="30"/>
          <w:szCs w:val="30"/>
          <w:highlight w:val="none"/>
          <w:lang w:val="en-US" w:eastAsia="zh-CN"/>
        </w:rPr>
        <w:t>申请材料要求</w:t>
      </w:r>
    </w:p>
    <w:p w14:paraId="3088EF44">
      <w:pPr>
        <w:keepNext w:val="0"/>
        <w:keepLines w:val="0"/>
        <w:pageBreakBefore w:val="0"/>
        <w:widowControl w:val="0"/>
        <w:numPr>
          <w:ilvl w:val="0"/>
          <w:numId w:val="0"/>
        </w:numPr>
        <w:pBdr>
          <w:top w:val="none" w:color="auto" w:sz="0" w:space="0"/>
          <w:bottom w:val="none" w:color="auto" w:sz="0" w:space="0"/>
        </w:pBdr>
        <w:kinsoku/>
        <w:wordWrap/>
        <w:overflowPunct w:val="0"/>
        <w:topLinePunct w:val="0"/>
        <w:autoSpaceDE/>
        <w:autoSpaceDN/>
        <w:bidi w:val="0"/>
        <w:adjustRightInd/>
        <w:snapToGrid/>
        <w:spacing w:after="0" w:line="579" w:lineRule="exact"/>
        <w:ind w:left="0" w:firstLine="624" w:firstLineChars="200"/>
        <w:jc w:val="both"/>
        <w:textAlignment w:val="auto"/>
        <w:rPr>
          <w:rFonts w:hint="eastAsia" w:ascii="宋体" w:hAnsi="宋体" w:eastAsia="仿宋_GB2312" w:cs="仿宋_GB2312"/>
          <w:color w:val="auto"/>
          <w:spacing w:val="6"/>
          <w:sz w:val="30"/>
          <w:szCs w:val="30"/>
          <w:highlight w:val="none"/>
          <w:lang w:val="en-US" w:eastAsia="zh-CN"/>
        </w:rPr>
      </w:pPr>
      <w:r>
        <w:rPr>
          <w:rFonts w:hint="eastAsia" w:ascii="宋体" w:hAnsi="宋体" w:eastAsia="仿宋_GB2312" w:cs="仿宋_GB2312"/>
          <w:color w:val="auto"/>
          <w:spacing w:val="6"/>
          <w:sz w:val="30"/>
          <w:szCs w:val="30"/>
          <w:highlight w:val="none"/>
          <w:lang w:val="en-US" w:eastAsia="zh-CN"/>
        </w:rPr>
        <w:t>（一）废弃电器电子产品处理企业对提交申请材料的真实性、准确性、合规性负责。申请专项资金材料应对照申请专项资金的标准和条件逐一进行符合性说明，出具申请专项资金年度规范处理和合法经营承诺书，根据上一年度规范回收处理废弃电器电子产品的种类和数量制定当年专项资金绩效目标，逐一说明绩效目标的可达性。绩效指标相对上一年度发生显著变化的，应单独说明。</w:t>
      </w:r>
    </w:p>
    <w:p w14:paraId="07FE7854">
      <w:pPr>
        <w:keepNext w:val="0"/>
        <w:keepLines w:val="0"/>
        <w:pageBreakBefore w:val="0"/>
        <w:widowControl w:val="0"/>
        <w:numPr>
          <w:ilvl w:val="0"/>
          <w:numId w:val="0"/>
        </w:numPr>
        <w:pBdr>
          <w:top w:val="none" w:color="auto" w:sz="0" w:space="0"/>
          <w:bottom w:val="none" w:color="auto" w:sz="0" w:space="0"/>
        </w:pBdr>
        <w:kinsoku/>
        <w:wordWrap/>
        <w:overflowPunct w:val="0"/>
        <w:topLinePunct w:val="0"/>
        <w:autoSpaceDE/>
        <w:autoSpaceDN/>
        <w:bidi w:val="0"/>
        <w:adjustRightInd/>
        <w:snapToGrid/>
        <w:spacing w:after="0" w:line="579" w:lineRule="exact"/>
        <w:ind w:firstLine="624" w:firstLineChars="200"/>
        <w:jc w:val="both"/>
        <w:textAlignment w:val="auto"/>
        <w:rPr>
          <w:rFonts w:hint="eastAsia" w:ascii="宋体" w:hAnsi="宋体" w:eastAsia="仿宋_GB2312" w:cs="仿宋_GB2312"/>
          <w:color w:val="auto"/>
          <w:spacing w:val="6"/>
          <w:sz w:val="30"/>
          <w:szCs w:val="30"/>
          <w:highlight w:val="none"/>
          <w:lang w:val="en-US" w:eastAsia="zh-CN"/>
        </w:rPr>
      </w:pPr>
      <w:r>
        <w:rPr>
          <w:rFonts w:hint="eastAsia" w:ascii="宋体" w:hAnsi="宋体" w:eastAsia="仿宋_GB2312" w:cs="仿宋_GB2312"/>
          <w:color w:val="auto"/>
          <w:spacing w:val="6"/>
          <w:sz w:val="30"/>
          <w:szCs w:val="30"/>
          <w:highlight w:val="none"/>
          <w:lang w:val="en-US" w:eastAsia="zh-CN"/>
        </w:rPr>
        <w:t>（二）州（市）生态环境局提交省生态环境厅材料应包括：废弃电器电子产品处理企业申请材料、生态环境守法说明，以及对照申请专项资金的标准和条件、处理能力、近年来规范回收处理情况及初审意见。</w:t>
      </w:r>
    </w:p>
    <w:p w14:paraId="7FD6FC85">
      <w:pPr>
        <w:keepNext w:val="0"/>
        <w:keepLines w:val="0"/>
        <w:pageBreakBefore w:val="0"/>
        <w:widowControl w:val="0"/>
        <w:pBdr>
          <w:top w:val="none" w:color="auto" w:sz="0" w:space="0"/>
          <w:bottom w:val="none" w:color="auto" w:sz="0" w:space="0"/>
        </w:pBdr>
        <w:kinsoku/>
        <w:wordWrap/>
        <w:overflowPunct w:val="0"/>
        <w:topLinePunct w:val="0"/>
        <w:autoSpaceDE/>
        <w:autoSpaceDN/>
        <w:bidi w:val="0"/>
        <w:adjustRightInd/>
        <w:snapToGrid/>
        <w:spacing w:after="0" w:line="579" w:lineRule="exact"/>
        <w:ind w:left="0" w:firstLine="624" w:firstLineChars="200"/>
        <w:jc w:val="both"/>
        <w:textAlignment w:val="auto"/>
        <w:rPr>
          <w:rFonts w:hint="eastAsia" w:ascii="宋体" w:hAnsi="宋体" w:eastAsia="仿宋_GB2312" w:cs="仿宋_GB2312"/>
          <w:color w:val="auto"/>
          <w:spacing w:val="6"/>
          <w:sz w:val="30"/>
          <w:szCs w:val="30"/>
          <w:highlight w:val="none"/>
          <w:lang w:val="en-US" w:eastAsia="zh-CN"/>
        </w:rPr>
      </w:pPr>
      <w:r>
        <w:rPr>
          <w:rFonts w:hint="eastAsia" w:ascii="宋体" w:hAnsi="宋体" w:eastAsia="黑体" w:cs="黑体"/>
          <w:color w:val="auto"/>
          <w:spacing w:val="6"/>
          <w:sz w:val="30"/>
          <w:szCs w:val="30"/>
          <w:highlight w:val="none"/>
          <w:lang w:val="en-US" w:eastAsia="zh-CN"/>
        </w:rPr>
        <w:t xml:space="preserve">第十条  </w:t>
      </w:r>
      <w:r>
        <w:rPr>
          <w:rFonts w:hint="eastAsia" w:ascii="宋体" w:hAnsi="宋体" w:eastAsia="仿宋_GB2312" w:cs="仿宋_GB2312"/>
          <w:color w:val="auto"/>
          <w:spacing w:val="6"/>
          <w:sz w:val="30"/>
          <w:szCs w:val="30"/>
          <w:highlight w:val="none"/>
          <w:lang w:val="en-US" w:eastAsia="zh-CN"/>
        </w:rPr>
        <w:t>经核实不符合申请专项资金标准和条件的，退回申请企业，并作出退回原因说明。</w:t>
      </w:r>
    </w:p>
    <w:p w14:paraId="356AF93B">
      <w:pPr>
        <w:keepNext w:val="0"/>
        <w:keepLines w:val="0"/>
        <w:pageBreakBefore w:val="0"/>
        <w:widowControl w:val="0"/>
        <w:pBdr>
          <w:top w:val="none" w:color="auto" w:sz="0" w:space="0"/>
          <w:bottom w:val="none" w:color="auto" w:sz="0" w:space="0"/>
        </w:pBdr>
        <w:kinsoku/>
        <w:wordWrap/>
        <w:overflowPunct w:val="0"/>
        <w:topLinePunct w:val="0"/>
        <w:autoSpaceDE/>
        <w:autoSpaceDN/>
        <w:bidi w:val="0"/>
        <w:adjustRightInd/>
        <w:snapToGrid/>
        <w:spacing w:after="0" w:line="579" w:lineRule="exact"/>
        <w:ind w:left="0"/>
        <w:jc w:val="center"/>
        <w:textAlignment w:val="auto"/>
        <w:rPr>
          <w:rFonts w:hint="eastAsia" w:ascii="宋体" w:hAnsi="宋体" w:eastAsia="方正小标宋简体" w:cs="方正小标宋简体"/>
          <w:color w:val="auto"/>
          <w:spacing w:val="6"/>
          <w:sz w:val="30"/>
          <w:szCs w:val="30"/>
          <w:highlight w:val="none"/>
          <w:lang w:val="en-US" w:eastAsia="zh-CN"/>
        </w:rPr>
      </w:pPr>
    </w:p>
    <w:p w14:paraId="465E018D">
      <w:pPr>
        <w:keepNext w:val="0"/>
        <w:keepLines w:val="0"/>
        <w:pageBreakBefore w:val="0"/>
        <w:widowControl w:val="0"/>
        <w:pBdr>
          <w:top w:val="none" w:color="auto" w:sz="0" w:space="0"/>
          <w:bottom w:val="none" w:color="auto" w:sz="0" w:space="0"/>
        </w:pBdr>
        <w:kinsoku/>
        <w:wordWrap/>
        <w:overflowPunct w:val="0"/>
        <w:topLinePunct w:val="0"/>
        <w:autoSpaceDE/>
        <w:autoSpaceDN/>
        <w:bidi w:val="0"/>
        <w:adjustRightInd/>
        <w:snapToGrid/>
        <w:spacing w:after="0" w:line="579" w:lineRule="exact"/>
        <w:ind w:left="0"/>
        <w:jc w:val="center"/>
        <w:textAlignment w:val="auto"/>
        <w:rPr>
          <w:rFonts w:hint="eastAsia" w:ascii="宋体" w:hAnsi="宋体" w:eastAsia="方正小标宋简体" w:cs="方正小标宋简体"/>
          <w:color w:val="auto"/>
          <w:spacing w:val="6"/>
          <w:sz w:val="30"/>
          <w:szCs w:val="30"/>
          <w:highlight w:val="none"/>
          <w:lang w:val="en-US" w:eastAsia="zh-CN"/>
        </w:rPr>
      </w:pPr>
      <w:r>
        <w:rPr>
          <w:rFonts w:hint="eastAsia" w:ascii="宋体" w:hAnsi="宋体" w:eastAsia="方正小标宋简体" w:cs="方正小标宋简体"/>
          <w:color w:val="auto"/>
          <w:spacing w:val="6"/>
          <w:sz w:val="30"/>
          <w:szCs w:val="30"/>
          <w:highlight w:val="none"/>
          <w:lang w:val="en-US" w:eastAsia="zh-CN"/>
        </w:rPr>
        <w:t>第四章  回收处理情况审核</w:t>
      </w:r>
    </w:p>
    <w:p w14:paraId="27768B3A">
      <w:pPr>
        <w:keepNext w:val="0"/>
        <w:keepLines w:val="0"/>
        <w:pageBreakBefore w:val="0"/>
        <w:widowControl w:val="0"/>
        <w:numPr>
          <w:ilvl w:val="0"/>
          <w:numId w:val="0"/>
        </w:numPr>
        <w:pBdr>
          <w:top w:val="none" w:color="auto" w:sz="0" w:space="0"/>
          <w:bottom w:val="none" w:color="auto" w:sz="0" w:space="0"/>
        </w:pBdr>
        <w:kinsoku/>
        <w:wordWrap/>
        <w:overflowPunct w:val="0"/>
        <w:topLinePunct w:val="0"/>
        <w:autoSpaceDE/>
        <w:autoSpaceDN/>
        <w:bidi w:val="0"/>
        <w:adjustRightInd/>
        <w:snapToGrid/>
        <w:spacing w:after="0" w:line="579" w:lineRule="exact"/>
        <w:jc w:val="center"/>
        <w:textAlignment w:val="auto"/>
        <w:rPr>
          <w:rFonts w:hint="eastAsia" w:ascii="宋体" w:hAnsi="宋体" w:eastAsia="方正小标宋简体" w:cs="方正小标宋简体"/>
          <w:color w:val="auto"/>
          <w:spacing w:val="6"/>
          <w:sz w:val="30"/>
          <w:szCs w:val="30"/>
          <w:highlight w:val="none"/>
          <w:lang w:val="en-US" w:eastAsia="zh-CN"/>
        </w:rPr>
      </w:pPr>
    </w:p>
    <w:p w14:paraId="2F00C235">
      <w:pPr>
        <w:keepNext w:val="0"/>
        <w:keepLines w:val="0"/>
        <w:pageBreakBefore w:val="0"/>
        <w:widowControl w:val="0"/>
        <w:numPr>
          <w:ilvl w:val="0"/>
          <w:numId w:val="0"/>
        </w:numPr>
        <w:pBdr>
          <w:top w:val="none" w:color="auto" w:sz="0" w:space="0"/>
          <w:bottom w:val="none" w:color="auto" w:sz="0" w:space="0"/>
        </w:pBdr>
        <w:kinsoku/>
        <w:wordWrap/>
        <w:overflowPunct w:val="0"/>
        <w:topLinePunct w:val="0"/>
        <w:autoSpaceDE/>
        <w:autoSpaceDN/>
        <w:bidi w:val="0"/>
        <w:adjustRightInd/>
        <w:snapToGrid/>
        <w:spacing w:after="0" w:line="579" w:lineRule="exact"/>
        <w:ind w:left="0" w:firstLine="624" w:firstLineChars="200"/>
        <w:jc w:val="both"/>
        <w:textAlignment w:val="auto"/>
        <w:rPr>
          <w:rFonts w:hint="eastAsia" w:ascii="宋体" w:hAnsi="宋体" w:eastAsia="仿宋_GB2312" w:cs="仿宋_GB2312"/>
          <w:color w:val="auto"/>
          <w:spacing w:val="6"/>
          <w:sz w:val="30"/>
          <w:szCs w:val="30"/>
          <w:highlight w:val="none"/>
          <w:lang w:val="en-US" w:eastAsia="zh-CN"/>
        </w:rPr>
      </w:pPr>
      <w:r>
        <w:rPr>
          <w:rFonts w:hint="eastAsia" w:ascii="宋体" w:hAnsi="宋体" w:eastAsia="黑体" w:cs="黑体"/>
          <w:color w:val="auto"/>
          <w:spacing w:val="6"/>
          <w:sz w:val="30"/>
          <w:szCs w:val="30"/>
          <w:highlight w:val="none"/>
          <w:lang w:val="en-US" w:eastAsia="zh-CN"/>
        </w:rPr>
        <w:t xml:space="preserve">第十一条 </w:t>
      </w:r>
      <w:r>
        <w:rPr>
          <w:rFonts w:hint="eastAsia" w:ascii="宋体" w:hAnsi="宋体" w:eastAsia="仿宋_GB2312" w:cs="仿宋_GB2312"/>
          <w:color w:val="auto"/>
          <w:spacing w:val="6"/>
          <w:sz w:val="30"/>
          <w:szCs w:val="30"/>
          <w:highlight w:val="none"/>
          <w:lang w:val="en-US" w:eastAsia="zh-CN"/>
        </w:rPr>
        <w:t xml:space="preserve"> 省生态环境厅按“公开、公平、廉洁、高效”的原则，对申请专项资金企业废弃电器电子产品规范回收处理情况进行审核，审核工作包括书面审核和现场审核。</w:t>
      </w:r>
    </w:p>
    <w:p w14:paraId="0D1CD2EA">
      <w:pPr>
        <w:keepNext w:val="0"/>
        <w:keepLines w:val="0"/>
        <w:pageBreakBefore w:val="0"/>
        <w:widowControl w:val="0"/>
        <w:numPr>
          <w:ilvl w:val="0"/>
          <w:numId w:val="0"/>
        </w:numPr>
        <w:suppressLineNumbers w:val="0"/>
        <w:pBdr>
          <w:top w:val="none" w:color="auto" w:sz="0" w:space="0"/>
          <w:bottom w:val="none" w:color="auto" w:sz="0" w:space="0"/>
        </w:pBdr>
        <w:kinsoku/>
        <w:wordWrap/>
        <w:overflowPunct w:val="0"/>
        <w:topLinePunct w:val="0"/>
        <w:autoSpaceDE/>
        <w:autoSpaceDN/>
        <w:bidi w:val="0"/>
        <w:adjustRightInd/>
        <w:snapToGrid/>
        <w:spacing w:after="0" w:line="579" w:lineRule="exact"/>
        <w:ind w:left="0" w:firstLine="624" w:firstLineChars="200"/>
        <w:jc w:val="both"/>
        <w:textAlignment w:val="auto"/>
        <w:rPr>
          <w:rFonts w:hint="eastAsia" w:ascii="宋体" w:hAnsi="宋体" w:eastAsia="仿宋_GB2312" w:cs="仿宋_GB2312"/>
          <w:color w:val="auto"/>
          <w:spacing w:val="6"/>
          <w:sz w:val="30"/>
          <w:szCs w:val="30"/>
          <w:highlight w:val="none"/>
          <w:lang w:val="en-US" w:eastAsia="zh-CN"/>
        </w:rPr>
      </w:pPr>
      <w:r>
        <w:rPr>
          <w:rFonts w:hint="eastAsia" w:ascii="宋体" w:hAnsi="宋体" w:eastAsia="黑体" w:cs="黑体"/>
          <w:color w:val="auto"/>
          <w:spacing w:val="6"/>
          <w:sz w:val="30"/>
          <w:szCs w:val="30"/>
          <w:highlight w:val="none"/>
        </w:rPr>
        <w:t>第</w:t>
      </w:r>
      <w:r>
        <w:rPr>
          <w:rFonts w:hint="eastAsia" w:ascii="宋体" w:hAnsi="宋体" w:eastAsia="黑体" w:cs="黑体"/>
          <w:color w:val="auto"/>
          <w:spacing w:val="6"/>
          <w:sz w:val="30"/>
          <w:szCs w:val="30"/>
          <w:highlight w:val="none"/>
          <w:lang w:val="en-US" w:eastAsia="zh-CN"/>
        </w:rPr>
        <w:t>十二</w:t>
      </w:r>
      <w:r>
        <w:rPr>
          <w:rFonts w:hint="eastAsia" w:ascii="宋体" w:hAnsi="宋体" w:eastAsia="黑体" w:cs="黑体"/>
          <w:color w:val="auto"/>
          <w:spacing w:val="6"/>
          <w:sz w:val="30"/>
          <w:szCs w:val="30"/>
          <w:highlight w:val="none"/>
        </w:rPr>
        <w:t xml:space="preserve">条 </w:t>
      </w:r>
      <w:r>
        <w:rPr>
          <w:rFonts w:hint="eastAsia" w:ascii="宋体" w:hAnsi="宋体" w:eastAsia="黑体" w:cs="黑体"/>
          <w:color w:val="auto"/>
          <w:spacing w:val="6"/>
          <w:sz w:val="30"/>
          <w:szCs w:val="30"/>
          <w:highlight w:val="none"/>
          <w:lang w:val="en-US" w:eastAsia="zh-CN"/>
        </w:rPr>
        <w:t xml:space="preserve"> </w:t>
      </w:r>
      <w:r>
        <w:rPr>
          <w:rFonts w:hint="eastAsia" w:ascii="宋体" w:hAnsi="宋体" w:eastAsia="仿宋_GB2312" w:cs="仿宋_GB2312"/>
          <w:color w:val="auto"/>
          <w:spacing w:val="6"/>
          <w:sz w:val="30"/>
          <w:szCs w:val="30"/>
          <w:highlight w:val="none"/>
          <w:lang w:val="en-US" w:eastAsia="zh-CN"/>
        </w:rPr>
        <w:t>审核工作严格按照《废弃电器电子产品回收处理情况审核工作指南（试行）》开展。省生态环境厅可采用购买社会服务的方式引入第三方专业审核机构承担审核工作，并组织专家对第三方专业审核机构审核结果进行复核。</w:t>
      </w:r>
    </w:p>
    <w:p w14:paraId="2950CE49">
      <w:pPr>
        <w:pStyle w:val="2"/>
        <w:keepNext w:val="0"/>
        <w:keepLines w:val="0"/>
        <w:pageBreakBefore w:val="0"/>
        <w:widowControl w:val="0"/>
        <w:pBdr>
          <w:top w:val="none" w:color="auto" w:sz="0" w:space="0"/>
          <w:bottom w:val="none" w:color="auto" w:sz="0" w:space="0"/>
        </w:pBdr>
        <w:kinsoku/>
        <w:wordWrap/>
        <w:overflowPunct w:val="0"/>
        <w:topLinePunct w:val="0"/>
        <w:autoSpaceDE/>
        <w:autoSpaceDN/>
        <w:bidi w:val="0"/>
        <w:adjustRightInd/>
        <w:snapToGrid/>
        <w:spacing w:after="0" w:line="579" w:lineRule="exact"/>
        <w:ind w:left="0" w:leftChars="0" w:firstLine="624" w:firstLineChars="200"/>
        <w:jc w:val="both"/>
        <w:textAlignment w:val="auto"/>
        <w:rPr>
          <w:rFonts w:hint="eastAsia" w:ascii="宋体" w:hAnsi="宋体" w:eastAsia="仿宋_GB2312" w:cs="仿宋_GB2312"/>
          <w:color w:val="auto"/>
          <w:spacing w:val="6"/>
          <w:sz w:val="30"/>
          <w:szCs w:val="30"/>
          <w:highlight w:val="none"/>
          <w:lang w:val="en-US" w:eastAsia="zh-CN"/>
        </w:rPr>
      </w:pPr>
      <w:r>
        <w:rPr>
          <w:rFonts w:hint="eastAsia" w:ascii="宋体" w:hAnsi="宋体" w:eastAsia="黑体" w:cs="黑体"/>
          <w:color w:val="auto"/>
          <w:spacing w:val="6"/>
          <w:sz w:val="30"/>
          <w:szCs w:val="30"/>
          <w:highlight w:val="none"/>
          <w:lang w:val="en-US" w:eastAsia="zh-CN"/>
        </w:rPr>
        <w:t xml:space="preserve">第十三条 </w:t>
      </w:r>
      <w:r>
        <w:rPr>
          <w:rFonts w:hint="eastAsia" w:ascii="宋体" w:hAnsi="宋体" w:eastAsia="仿宋_GB2312" w:cs="仿宋_GB2312"/>
          <w:color w:val="auto"/>
          <w:spacing w:val="6"/>
          <w:sz w:val="30"/>
          <w:szCs w:val="30"/>
          <w:highlight w:val="none"/>
          <w:lang w:val="en-US" w:eastAsia="zh-CN"/>
        </w:rPr>
        <w:t xml:space="preserve"> 第三方专业审核机构应建立健全纪律监督机制，相关工作人员应签订廉洁保证书。审核人员不少于两人一组，审核人员及专家涉及本人或本单位利害关系，以及其他可能影响结果公正的，应当主动回避。审核人员及专家应廉洁公正，不得进行或参与可能影响审核工作独立、客观、公正的活动。</w:t>
      </w:r>
    </w:p>
    <w:p w14:paraId="33886166">
      <w:pPr>
        <w:keepNext w:val="0"/>
        <w:keepLines w:val="0"/>
        <w:pageBreakBefore w:val="0"/>
        <w:widowControl w:val="0"/>
        <w:pBdr>
          <w:top w:val="none" w:color="auto" w:sz="0" w:space="0"/>
          <w:bottom w:val="none" w:color="auto" w:sz="0" w:space="0"/>
        </w:pBdr>
        <w:kinsoku/>
        <w:wordWrap/>
        <w:overflowPunct w:val="0"/>
        <w:topLinePunct w:val="0"/>
        <w:autoSpaceDE/>
        <w:autoSpaceDN/>
        <w:bidi w:val="0"/>
        <w:adjustRightInd/>
        <w:snapToGrid/>
        <w:spacing w:after="0" w:line="579" w:lineRule="exact"/>
        <w:ind w:left="0" w:firstLine="624" w:firstLineChars="200"/>
        <w:jc w:val="both"/>
        <w:textAlignment w:val="auto"/>
        <w:rPr>
          <w:rFonts w:hint="eastAsia" w:ascii="宋体" w:hAnsi="宋体" w:eastAsia="仿宋_GB2312" w:cs="仿宋_GB2312"/>
          <w:color w:val="auto"/>
          <w:spacing w:val="6"/>
          <w:sz w:val="30"/>
          <w:szCs w:val="30"/>
          <w:highlight w:val="none"/>
          <w:lang w:val="en-US" w:eastAsia="zh-CN"/>
        </w:rPr>
      </w:pPr>
      <w:r>
        <w:rPr>
          <w:rFonts w:hint="eastAsia" w:ascii="宋体" w:hAnsi="宋体" w:eastAsia="黑体" w:cs="黑体"/>
          <w:color w:val="auto"/>
          <w:spacing w:val="6"/>
          <w:sz w:val="30"/>
          <w:szCs w:val="30"/>
          <w:highlight w:val="none"/>
          <w:lang w:val="en-US" w:eastAsia="zh-CN"/>
        </w:rPr>
        <w:t xml:space="preserve">第十四条  </w:t>
      </w:r>
      <w:r>
        <w:rPr>
          <w:rFonts w:hint="eastAsia" w:ascii="宋体" w:hAnsi="宋体" w:eastAsia="仿宋_GB2312" w:cs="仿宋_GB2312"/>
          <w:color w:val="auto"/>
          <w:spacing w:val="6"/>
          <w:sz w:val="30"/>
          <w:szCs w:val="30"/>
          <w:highlight w:val="none"/>
          <w:lang w:val="en-US" w:eastAsia="zh-CN"/>
        </w:rPr>
        <w:t>审核意见应在审核工作结束后10个工作日内告知相关企业，对审核意见存在异议的，于5个工作日内书面反馈。相关企业提出异议的应纳入复核，省生态环境厅组织专家进行确认。专家对提出的复核意见负责。</w:t>
      </w:r>
    </w:p>
    <w:p w14:paraId="0643D616">
      <w:pPr>
        <w:keepNext w:val="0"/>
        <w:keepLines w:val="0"/>
        <w:pageBreakBefore w:val="0"/>
        <w:widowControl w:val="0"/>
        <w:pBdr>
          <w:top w:val="none" w:color="auto" w:sz="0" w:space="0"/>
          <w:bottom w:val="none" w:color="auto" w:sz="0" w:space="0"/>
        </w:pBdr>
        <w:kinsoku/>
        <w:wordWrap/>
        <w:overflowPunct w:val="0"/>
        <w:topLinePunct w:val="0"/>
        <w:autoSpaceDE/>
        <w:autoSpaceDN/>
        <w:bidi w:val="0"/>
        <w:adjustRightInd/>
        <w:snapToGrid/>
        <w:spacing w:after="0" w:line="579" w:lineRule="exact"/>
        <w:ind w:left="0" w:firstLine="624" w:firstLineChars="200"/>
        <w:jc w:val="both"/>
        <w:textAlignment w:val="auto"/>
        <w:rPr>
          <w:rFonts w:hint="eastAsia" w:ascii="宋体" w:hAnsi="宋体" w:eastAsia="仿宋_GB2312" w:cs="仿宋_GB2312"/>
          <w:color w:val="auto"/>
          <w:spacing w:val="6"/>
          <w:sz w:val="30"/>
          <w:szCs w:val="30"/>
          <w:highlight w:val="none"/>
          <w:lang w:val="en-US" w:eastAsia="zh-CN"/>
        </w:rPr>
      </w:pPr>
      <w:r>
        <w:rPr>
          <w:rFonts w:hint="eastAsia" w:ascii="宋体" w:hAnsi="宋体" w:eastAsia="黑体" w:cs="黑体"/>
          <w:color w:val="auto"/>
          <w:spacing w:val="6"/>
          <w:sz w:val="30"/>
          <w:szCs w:val="30"/>
          <w:highlight w:val="none"/>
          <w:lang w:val="en-US" w:eastAsia="zh-CN"/>
        </w:rPr>
        <w:t xml:space="preserve">第十五条  </w:t>
      </w:r>
      <w:r>
        <w:rPr>
          <w:rFonts w:hint="eastAsia" w:ascii="宋体" w:hAnsi="宋体" w:eastAsia="仿宋_GB2312" w:cs="仿宋_GB2312"/>
          <w:color w:val="auto"/>
          <w:spacing w:val="6"/>
          <w:sz w:val="30"/>
          <w:szCs w:val="30"/>
          <w:highlight w:val="none"/>
          <w:lang w:val="en-US" w:eastAsia="zh-CN"/>
        </w:rPr>
        <w:t>复核工作完成后，省生态环境厅5个工作日内向社会公示复核结果，接受监督，公示结束后按要求报送结果。</w:t>
      </w:r>
    </w:p>
    <w:p w14:paraId="3EFE4D1C">
      <w:pPr>
        <w:keepNext w:val="0"/>
        <w:keepLines w:val="0"/>
        <w:pageBreakBefore w:val="0"/>
        <w:widowControl w:val="0"/>
        <w:pBdr>
          <w:top w:val="none" w:color="auto" w:sz="0" w:space="0"/>
          <w:bottom w:val="none" w:color="auto" w:sz="0" w:space="0"/>
        </w:pBdr>
        <w:kinsoku/>
        <w:wordWrap/>
        <w:overflowPunct w:val="0"/>
        <w:topLinePunct w:val="0"/>
        <w:autoSpaceDE/>
        <w:autoSpaceDN/>
        <w:bidi w:val="0"/>
        <w:adjustRightInd/>
        <w:snapToGrid/>
        <w:spacing w:after="0" w:line="579" w:lineRule="exact"/>
        <w:ind w:left="0"/>
        <w:jc w:val="center"/>
        <w:textAlignment w:val="auto"/>
        <w:rPr>
          <w:rFonts w:hint="eastAsia" w:ascii="宋体" w:hAnsi="宋体" w:eastAsia="方正小标宋简体" w:cs="方正小标宋简体"/>
          <w:color w:val="auto"/>
          <w:spacing w:val="6"/>
          <w:sz w:val="30"/>
          <w:szCs w:val="30"/>
          <w:highlight w:val="none"/>
          <w:lang w:val="en-US" w:eastAsia="zh-CN"/>
        </w:rPr>
      </w:pPr>
    </w:p>
    <w:p w14:paraId="289AAB49">
      <w:pPr>
        <w:keepNext w:val="0"/>
        <w:keepLines w:val="0"/>
        <w:pageBreakBefore w:val="0"/>
        <w:widowControl w:val="0"/>
        <w:pBdr>
          <w:top w:val="none" w:color="auto" w:sz="0" w:space="0"/>
          <w:bottom w:val="none" w:color="auto" w:sz="0" w:space="0"/>
        </w:pBdr>
        <w:kinsoku/>
        <w:wordWrap/>
        <w:overflowPunct w:val="0"/>
        <w:topLinePunct w:val="0"/>
        <w:autoSpaceDE/>
        <w:autoSpaceDN/>
        <w:bidi w:val="0"/>
        <w:adjustRightInd/>
        <w:snapToGrid/>
        <w:spacing w:after="0" w:line="579" w:lineRule="exact"/>
        <w:ind w:left="0"/>
        <w:jc w:val="center"/>
        <w:textAlignment w:val="auto"/>
        <w:rPr>
          <w:rFonts w:hint="eastAsia" w:ascii="宋体" w:hAnsi="宋体" w:eastAsia="方正小标宋简体" w:cs="方正小标宋简体"/>
          <w:color w:val="auto"/>
          <w:spacing w:val="6"/>
          <w:sz w:val="30"/>
          <w:szCs w:val="30"/>
          <w:highlight w:val="none"/>
          <w:lang w:val="en-US" w:eastAsia="zh-CN"/>
        </w:rPr>
      </w:pPr>
      <w:r>
        <w:rPr>
          <w:rFonts w:hint="eastAsia" w:ascii="宋体" w:hAnsi="宋体" w:eastAsia="方正小标宋简体" w:cs="方正小标宋简体"/>
          <w:color w:val="auto"/>
          <w:spacing w:val="6"/>
          <w:sz w:val="30"/>
          <w:szCs w:val="30"/>
          <w:highlight w:val="none"/>
          <w:lang w:val="en-US" w:eastAsia="zh-CN"/>
        </w:rPr>
        <w:t>第五章  资金分配</w:t>
      </w:r>
    </w:p>
    <w:p w14:paraId="703C26BF">
      <w:pPr>
        <w:keepNext w:val="0"/>
        <w:keepLines w:val="0"/>
        <w:pageBreakBefore w:val="0"/>
        <w:widowControl w:val="0"/>
        <w:numPr>
          <w:ilvl w:val="0"/>
          <w:numId w:val="0"/>
        </w:numPr>
        <w:suppressLineNumbers w:val="0"/>
        <w:pBdr>
          <w:top w:val="none" w:color="auto" w:sz="0" w:space="0"/>
          <w:bottom w:val="none" w:color="auto" w:sz="0" w:space="0"/>
        </w:pBdr>
        <w:kinsoku/>
        <w:wordWrap/>
        <w:overflowPunct w:val="0"/>
        <w:topLinePunct w:val="0"/>
        <w:autoSpaceDE/>
        <w:autoSpaceDN/>
        <w:bidi w:val="0"/>
        <w:adjustRightInd/>
        <w:snapToGrid/>
        <w:spacing w:after="0" w:line="579" w:lineRule="exact"/>
        <w:jc w:val="center"/>
        <w:textAlignment w:val="auto"/>
        <w:rPr>
          <w:rFonts w:hint="eastAsia" w:ascii="宋体" w:hAnsi="宋体" w:eastAsia="方正小标宋简体" w:cs="方正小标宋简体"/>
          <w:color w:val="auto"/>
          <w:spacing w:val="6"/>
          <w:sz w:val="30"/>
          <w:szCs w:val="30"/>
          <w:highlight w:val="none"/>
          <w:lang w:val="en-US" w:eastAsia="zh-CN"/>
        </w:rPr>
      </w:pPr>
    </w:p>
    <w:p w14:paraId="3462C906">
      <w:pPr>
        <w:keepNext w:val="0"/>
        <w:keepLines w:val="0"/>
        <w:pageBreakBefore w:val="0"/>
        <w:widowControl w:val="0"/>
        <w:numPr>
          <w:ilvl w:val="0"/>
          <w:numId w:val="0"/>
        </w:numPr>
        <w:suppressLineNumbers w:val="0"/>
        <w:pBdr>
          <w:top w:val="none" w:color="auto" w:sz="0" w:space="0"/>
          <w:bottom w:val="none" w:color="auto" w:sz="0" w:space="0"/>
        </w:pBdr>
        <w:kinsoku/>
        <w:wordWrap/>
        <w:overflowPunct w:val="0"/>
        <w:topLinePunct w:val="0"/>
        <w:autoSpaceDE/>
        <w:autoSpaceDN/>
        <w:bidi w:val="0"/>
        <w:adjustRightInd/>
        <w:snapToGrid/>
        <w:spacing w:after="0" w:line="579" w:lineRule="exact"/>
        <w:ind w:left="0" w:firstLine="624" w:firstLineChars="200"/>
        <w:jc w:val="both"/>
        <w:textAlignment w:val="auto"/>
        <w:rPr>
          <w:rFonts w:hint="eastAsia" w:ascii="宋体" w:hAnsi="宋体" w:eastAsia="仿宋_GB2312" w:cs="仿宋_GB2312"/>
          <w:color w:val="auto"/>
          <w:spacing w:val="6"/>
          <w:sz w:val="30"/>
          <w:szCs w:val="30"/>
          <w:highlight w:val="none"/>
          <w:lang w:val="en-US" w:eastAsia="zh-CN"/>
        </w:rPr>
      </w:pPr>
      <w:r>
        <w:rPr>
          <w:rFonts w:hint="eastAsia" w:ascii="宋体" w:hAnsi="宋体" w:eastAsia="黑体" w:cs="黑体"/>
          <w:color w:val="auto"/>
          <w:spacing w:val="6"/>
          <w:sz w:val="30"/>
          <w:szCs w:val="30"/>
          <w:highlight w:val="none"/>
          <w:lang w:val="en-US" w:eastAsia="zh-CN"/>
        </w:rPr>
        <w:t xml:space="preserve">第十六条  </w:t>
      </w:r>
      <w:r>
        <w:rPr>
          <w:rFonts w:hint="eastAsia" w:ascii="宋体" w:hAnsi="宋体" w:eastAsia="仿宋_GB2312" w:cs="仿宋_GB2312"/>
          <w:color w:val="auto"/>
          <w:spacing w:val="6"/>
          <w:sz w:val="30"/>
          <w:szCs w:val="30"/>
          <w:highlight w:val="none"/>
          <w:lang w:val="en-US" w:eastAsia="zh-CN"/>
        </w:rPr>
        <w:t>专项资金采取“以奖代补”的方式，按照因素法分配到企业。分配因素指标如下：规范回收处理废弃电器电子产品数量、废弃电器电子产品许可核定回收处理产能实际运行负荷率，权重分别为：95%、5%。资金分配方法可根据废弃电器电子产品环境管理形势和循环经济发展状况进行动态调整。</w:t>
      </w:r>
    </w:p>
    <w:p w14:paraId="1B1656C6">
      <w:pPr>
        <w:keepNext w:val="0"/>
        <w:keepLines w:val="0"/>
        <w:pageBreakBefore w:val="0"/>
        <w:widowControl w:val="0"/>
        <w:numPr>
          <w:ilvl w:val="0"/>
          <w:numId w:val="0"/>
        </w:numPr>
        <w:pBdr>
          <w:top w:val="none" w:color="auto" w:sz="0" w:space="0"/>
          <w:bottom w:val="none" w:color="auto" w:sz="0" w:space="0"/>
        </w:pBdr>
        <w:kinsoku/>
        <w:wordWrap/>
        <w:overflowPunct w:val="0"/>
        <w:topLinePunct w:val="0"/>
        <w:autoSpaceDE/>
        <w:autoSpaceDN/>
        <w:bidi w:val="0"/>
        <w:adjustRightInd/>
        <w:snapToGrid/>
        <w:spacing w:after="0" w:line="579" w:lineRule="exact"/>
        <w:ind w:left="0" w:firstLine="624" w:firstLineChars="200"/>
        <w:jc w:val="both"/>
        <w:textAlignment w:val="auto"/>
        <w:rPr>
          <w:rFonts w:hint="eastAsia" w:ascii="宋体" w:hAnsi="宋体" w:eastAsia="仿宋_GB2312" w:cs="仿宋_GB2312"/>
          <w:color w:val="auto"/>
          <w:spacing w:val="6"/>
          <w:sz w:val="30"/>
          <w:szCs w:val="30"/>
          <w:highlight w:val="none"/>
          <w:lang w:val="en-US" w:eastAsia="zh-CN"/>
        </w:rPr>
      </w:pPr>
      <w:r>
        <w:rPr>
          <w:rFonts w:hint="eastAsia" w:ascii="宋体" w:hAnsi="宋体" w:eastAsia="黑体" w:cs="黑体"/>
          <w:color w:val="auto"/>
          <w:spacing w:val="6"/>
          <w:sz w:val="30"/>
          <w:szCs w:val="30"/>
          <w:highlight w:val="none"/>
          <w:lang w:val="en-US" w:eastAsia="zh-CN"/>
        </w:rPr>
        <w:t xml:space="preserve">第十七条  </w:t>
      </w:r>
      <w:r>
        <w:rPr>
          <w:rFonts w:hint="eastAsia" w:ascii="宋体" w:hAnsi="宋体" w:eastAsia="仿宋_GB2312" w:cs="仿宋_GB2312"/>
          <w:color w:val="auto"/>
          <w:spacing w:val="6"/>
          <w:sz w:val="30"/>
          <w:szCs w:val="30"/>
          <w:highlight w:val="none"/>
        </w:rPr>
        <w:t>规范回收处理废弃电器电子产品</w:t>
      </w:r>
      <w:r>
        <w:rPr>
          <w:rFonts w:hint="eastAsia" w:ascii="宋体" w:hAnsi="宋体" w:eastAsia="仿宋_GB2312" w:cs="仿宋_GB2312"/>
          <w:color w:val="auto"/>
          <w:spacing w:val="6"/>
          <w:sz w:val="30"/>
          <w:szCs w:val="30"/>
          <w:highlight w:val="none"/>
          <w:lang w:val="en-US" w:eastAsia="zh-CN"/>
        </w:rPr>
        <w:t>数</w:t>
      </w:r>
      <w:r>
        <w:rPr>
          <w:rFonts w:hint="eastAsia" w:ascii="宋体" w:hAnsi="宋体" w:eastAsia="仿宋_GB2312" w:cs="仿宋_GB2312"/>
          <w:color w:val="auto"/>
          <w:spacing w:val="6"/>
          <w:sz w:val="30"/>
          <w:szCs w:val="30"/>
          <w:highlight w:val="none"/>
        </w:rPr>
        <w:t>量</w:t>
      </w:r>
      <w:r>
        <w:rPr>
          <w:rFonts w:hint="eastAsia" w:ascii="宋体" w:hAnsi="宋体" w:eastAsia="仿宋_GB2312" w:cs="仿宋_GB2312"/>
          <w:color w:val="auto"/>
          <w:spacing w:val="6"/>
          <w:sz w:val="30"/>
          <w:szCs w:val="30"/>
          <w:highlight w:val="none"/>
          <w:lang w:val="en-US" w:eastAsia="zh-CN"/>
        </w:rPr>
        <w:t>因素分配金额采用标准台法计算。单台废弃</w:t>
      </w:r>
      <w:r>
        <w:rPr>
          <w:rFonts w:hint="eastAsia" w:ascii="宋体" w:hAnsi="宋体" w:eastAsia="仿宋_GB2312" w:cs="仿宋_GB2312"/>
          <w:color w:val="auto"/>
          <w:spacing w:val="6"/>
          <w:sz w:val="30"/>
          <w:szCs w:val="30"/>
          <w:highlight w:val="none"/>
        </w:rPr>
        <w:t>电冰箱、</w:t>
      </w:r>
      <w:r>
        <w:rPr>
          <w:rFonts w:hint="eastAsia" w:ascii="宋体" w:hAnsi="宋体" w:eastAsia="仿宋_GB2312" w:cs="仿宋_GB2312"/>
          <w:color w:val="auto"/>
          <w:spacing w:val="6"/>
          <w:sz w:val="30"/>
          <w:szCs w:val="30"/>
          <w:highlight w:val="none"/>
          <w:lang w:val="en-US" w:eastAsia="zh-CN"/>
        </w:rPr>
        <w:t>废弃</w:t>
      </w:r>
      <w:r>
        <w:rPr>
          <w:rFonts w:hint="eastAsia" w:ascii="宋体" w:hAnsi="宋体" w:eastAsia="仿宋_GB2312" w:cs="仿宋_GB2312"/>
          <w:color w:val="auto"/>
          <w:spacing w:val="6"/>
          <w:sz w:val="30"/>
          <w:szCs w:val="30"/>
          <w:highlight w:val="none"/>
        </w:rPr>
        <w:t>空气调节器、</w:t>
      </w:r>
      <w:r>
        <w:rPr>
          <w:rFonts w:hint="eastAsia" w:ascii="宋体" w:hAnsi="宋体" w:eastAsia="仿宋_GB2312" w:cs="仿宋_GB2312"/>
          <w:color w:val="auto"/>
          <w:spacing w:val="6"/>
          <w:sz w:val="30"/>
          <w:szCs w:val="30"/>
          <w:highlight w:val="none"/>
          <w:lang w:val="en-US" w:eastAsia="zh-CN"/>
        </w:rPr>
        <w:t>废弃</w:t>
      </w:r>
      <w:r>
        <w:rPr>
          <w:rFonts w:hint="eastAsia" w:ascii="宋体" w:hAnsi="宋体" w:eastAsia="仿宋_GB2312" w:cs="仿宋_GB2312"/>
          <w:color w:val="auto"/>
          <w:spacing w:val="6"/>
          <w:sz w:val="30"/>
          <w:szCs w:val="30"/>
          <w:highlight w:val="none"/>
        </w:rPr>
        <w:t>微型计算机、</w:t>
      </w:r>
      <w:r>
        <w:rPr>
          <w:rFonts w:hint="eastAsia" w:ascii="宋体" w:hAnsi="宋体" w:eastAsia="仿宋_GB2312" w:cs="仿宋_GB2312"/>
          <w:color w:val="auto"/>
          <w:spacing w:val="6"/>
          <w:sz w:val="30"/>
          <w:szCs w:val="30"/>
          <w:highlight w:val="none"/>
          <w:lang w:val="en-US" w:eastAsia="zh-CN"/>
        </w:rPr>
        <w:t>废弃</w:t>
      </w:r>
      <w:r>
        <w:rPr>
          <w:rFonts w:hint="eastAsia" w:ascii="宋体" w:hAnsi="宋体" w:eastAsia="仿宋_GB2312" w:cs="仿宋_GB2312"/>
          <w:color w:val="auto"/>
          <w:spacing w:val="6"/>
          <w:sz w:val="30"/>
          <w:szCs w:val="30"/>
          <w:highlight w:val="none"/>
        </w:rPr>
        <w:t>电视机、</w:t>
      </w:r>
      <w:r>
        <w:rPr>
          <w:rFonts w:hint="eastAsia" w:ascii="宋体" w:hAnsi="宋体" w:eastAsia="仿宋_GB2312" w:cs="仿宋_GB2312"/>
          <w:color w:val="auto"/>
          <w:spacing w:val="6"/>
          <w:sz w:val="30"/>
          <w:szCs w:val="30"/>
          <w:highlight w:val="none"/>
          <w:lang w:val="en-US" w:eastAsia="zh-CN"/>
        </w:rPr>
        <w:t>废弃</w:t>
      </w:r>
      <w:r>
        <w:rPr>
          <w:rFonts w:hint="eastAsia" w:ascii="宋体" w:hAnsi="宋体" w:eastAsia="仿宋_GB2312" w:cs="仿宋_GB2312"/>
          <w:color w:val="auto"/>
          <w:spacing w:val="6"/>
          <w:sz w:val="30"/>
          <w:szCs w:val="30"/>
          <w:highlight w:val="none"/>
        </w:rPr>
        <w:t>洗衣机</w:t>
      </w:r>
      <w:r>
        <w:rPr>
          <w:rFonts w:hint="eastAsia" w:ascii="宋体" w:hAnsi="宋体" w:eastAsia="仿宋_GB2312" w:cs="仿宋_GB2312"/>
          <w:color w:val="auto"/>
          <w:spacing w:val="6"/>
          <w:sz w:val="30"/>
          <w:szCs w:val="30"/>
          <w:highlight w:val="none"/>
          <w:lang w:val="en-US" w:eastAsia="zh-CN"/>
        </w:rPr>
        <w:t>规范回收处理奖励金额按照3:3:2:1:1</w:t>
      </w:r>
      <w:r>
        <w:rPr>
          <w:rFonts w:hint="eastAsia" w:ascii="宋体" w:hAnsi="宋体" w:eastAsia="仿宋_GB2312" w:cs="仿宋_GB2312"/>
          <w:color w:val="auto"/>
          <w:spacing w:val="6"/>
          <w:sz w:val="30"/>
          <w:szCs w:val="30"/>
          <w:highlight w:val="none"/>
        </w:rPr>
        <w:t>的比例</w:t>
      </w:r>
      <w:r>
        <w:rPr>
          <w:rFonts w:hint="eastAsia" w:ascii="宋体" w:hAnsi="宋体" w:eastAsia="仿宋_GB2312" w:cs="仿宋_GB2312"/>
          <w:color w:val="auto"/>
          <w:spacing w:val="6"/>
          <w:sz w:val="30"/>
          <w:szCs w:val="30"/>
          <w:highlight w:val="none"/>
          <w:lang w:val="en-US" w:eastAsia="zh-CN"/>
        </w:rPr>
        <w:t>计算（即规范回收处理1台废弃</w:t>
      </w:r>
      <w:r>
        <w:rPr>
          <w:rFonts w:hint="eastAsia" w:ascii="宋体" w:hAnsi="宋体" w:eastAsia="仿宋_GB2312" w:cs="仿宋_GB2312"/>
          <w:color w:val="auto"/>
          <w:spacing w:val="6"/>
          <w:sz w:val="30"/>
          <w:szCs w:val="30"/>
          <w:highlight w:val="none"/>
        </w:rPr>
        <w:t>电冰箱</w:t>
      </w:r>
      <w:r>
        <w:rPr>
          <w:rFonts w:hint="eastAsia" w:ascii="宋体" w:hAnsi="宋体" w:eastAsia="仿宋_GB2312" w:cs="仿宋_GB2312"/>
          <w:color w:val="auto"/>
          <w:spacing w:val="6"/>
          <w:sz w:val="30"/>
          <w:szCs w:val="30"/>
          <w:highlight w:val="none"/>
          <w:lang w:val="en-US" w:eastAsia="zh-CN"/>
        </w:rPr>
        <w:t>或废弃</w:t>
      </w:r>
      <w:r>
        <w:rPr>
          <w:rFonts w:hint="eastAsia" w:ascii="宋体" w:hAnsi="宋体" w:eastAsia="仿宋_GB2312" w:cs="仿宋_GB2312"/>
          <w:color w:val="auto"/>
          <w:spacing w:val="6"/>
          <w:sz w:val="30"/>
          <w:szCs w:val="30"/>
          <w:highlight w:val="none"/>
        </w:rPr>
        <w:t>空气调节器</w:t>
      </w:r>
      <w:r>
        <w:rPr>
          <w:rFonts w:hint="eastAsia" w:ascii="宋体" w:hAnsi="宋体" w:eastAsia="仿宋_GB2312" w:cs="仿宋_GB2312"/>
          <w:color w:val="auto"/>
          <w:spacing w:val="6"/>
          <w:sz w:val="30"/>
          <w:szCs w:val="30"/>
          <w:highlight w:val="none"/>
          <w:lang w:val="en-US" w:eastAsia="zh-CN"/>
        </w:rPr>
        <w:t>按3个标准台计，规范回收处理1台废弃</w:t>
      </w:r>
      <w:r>
        <w:rPr>
          <w:rFonts w:hint="eastAsia" w:ascii="宋体" w:hAnsi="宋体" w:eastAsia="仿宋_GB2312" w:cs="仿宋_GB2312"/>
          <w:color w:val="auto"/>
          <w:spacing w:val="6"/>
          <w:sz w:val="30"/>
          <w:szCs w:val="30"/>
          <w:highlight w:val="none"/>
        </w:rPr>
        <w:t>微型计算机</w:t>
      </w:r>
      <w:r>
        <w:rPr>
          <w:rFonts w:hint="eastAsia" w:ascii="宋体" w:hAnsi="宋体" w:eastAsia="仿宋_GB2312" w:cs="仿宋_GB2312"/>
          <w:color w:val="auto"/>
          <w:spacing w:val="6"/>
          <w:sz w:val="30"/>
          <w:szCs w:val="30"/>
          <w:highlight w:val="none"/>
          <w:lang w:val="en-US" w:eastAsia="zh-CN"/>
        </w:rPr>
        <w:t>按2个标准台计，规范回收处理1台废弃电视机或废弃</w:t>
      </w:r>
      <w:r>
        <w:rPr>
          <w:rFonts w:hint="eastAsia" w:ascii="宋体" w:hAnsi="宋体" w:eastAsia="仿宋_GB2312" w:cs="仿宋_GB2312"/>
          <w:color w:val="auto"/>
          <w:spacing w:val="6"/>
          <w:sz w:val="30"/>
          <w:szCs w:val="30"/>
          <w:highlight w:val="none"/>
        </w:rPr>
        <w:t>洗衣机</w:t>
      </w:r>
      <w:r>
        <w:rPr>
          <w:rFonts w:hint="eastAsia" w:ascii="宋体" w:hAnsi="宋体" w:eastAsia="仿宋_GB2312" w:cs="仿宋_GB2312"/>
          <w:color w:val="auto"/>
          <w:spacing w:val="6"/>
          <w:sz w:val="30"/>
          <w:szCs w:val="30"/>
          <w:highlight w:val="none"/>
          <w:lang w:val="en-US" w:eastAsia="zh-CN"/>
        </w:rPr>
        <w:t>按1个标准台计）。1个标准台分配金额=国家下达“以奖代补”专项资金总量/企业规范回收处理废弃电器电子产品标准台总数。相关企业</w:t>
      </w:r>
      <w:r>
        <w:rPr>
          <w:rFonts w:hint="eastAsia" w:ascii="宋体" w:hAnsi="宋体" w:eastAsia="仿宋_GB2312" w:cs="仿宋_GB2312"/>
          <w:color w:val="auto"/>
          <w:spacing w:val="6"/>
          <w:sz w:val="30"/>
          <w:szCs w:val="30"/>
          <w:highlight w:val="none"/>
        </w:rPr>
        <w:t>规范回收处理废弃电器电子产品</w:t>
      </w:r>
      <w:r>
        <w:rPr>
          <w:rFonts w:hint="eastAsia" w:ascii="宋体" w:hAnsi="宋体" w:eastAsia="仿宋_GB2312" w:cs="仿宋_GB2312"/>
          <w:color w:val="auto"/>
          <w:spacing w:val="6"/>
          <w:sz w:val="30"/>
          <w:szCs w:val="30"/>
          <w:highlight w:val="none"/>
          <w:lang w:val="en-US" w:eastAsia="zh-CN"/>
        </w:rPr>
        <w:t>数</w:t>
      </w:r>
      <w:r>
        <w:rPr>
          <w:rFonts w:hint="eastAsia" w:ascii="宋体" w:hAnsi="宋体" w:eastAsia="仿宋_GB2312" w:cs="仿宋_GB2312"/>
          <w:color w:val="auto"/>
          <w:spacing w:val="6"/>
          <w:sz w:val="30"/>
          <w:szCs w:val="30"/>
          <w:highlight w:val="none"/>
        </w:rPr>
        <w:t>量</w:t>
      </w:r>
      <w:r>
        <w:rPr>
          <w:rFonts w:hint="eastAsia" w:ascii="宋体" w:hAnsi="宋体" w:eastAsia="仿宋_GB2312" w:cs="仿宋_GB2312"/>
          <w:color w:val="auto"/>
          <w:spacing w:val="6"/>
          <w:sz w:val="30"/>
          <w:szCs w:val="30"/>
          <w:highlight w:val="none"/>
          <w:lang w:val="en-US" w:eastAsia="zh-CN"/>
        </w:rPr>
        <w:t>因素分配金额=1个标准台分配金额×企业规范回收处理废弃电器电子产品标准台数。</w:t>
      </w:r>
    </w:p>
    <w:p w14:paraId="593EC178">
      <w:pPr>
        <w:keepNext w:val="0"/>
        <w:keepLines w:val="0"/>
        <w:pageBreakBefore w:val="0"/>
        <w:numPr>
          <w:ilvl w:val="0"/>
          <w:numId w:val="0"/>
        </w:numPr>
        <w:pBdr>
          <w:top w:val="none" w:color="auto" w:sz="0" w:space="0"/>
          <w:bottom w:val="none" w:color="auto" w:sz="0" w:space="0"/>
        </w:pBdr>
        <w:kinsoku/>
        <w:wordWrap/>
        <w:overflowPunct w:val="0"/>
        <w:topLinePunct w:val="0"/>
        <w:autoSpaceDE/>
        <w:autoSpaceDN/>
        <w:bidi w:val="0"/>
        <w:adjustRightInd/>
        <w:snapToGrid/>
        <w:spacing w:after="0" w:line="579" w:lineRule="exact"/>
        <w:ind w:left="0" w:firstLine="640" w:firstLineChars="0"/>
        <w:textAlignment w:val="auto"/>
        <w:rPr>
          <w:rFonts w:hint="eastAsia" w:ascii="宋体" w:hAnsi="宋体" w:eastAsia="仿宋_GB2312" w:cs="仿宋_GB2312"/>
          <w:color w:val="auto"/>
          <w:spacing w:val="6"/>
          <w:sz w:val="30"/>
          <w:szCs w:val="30"/>
          <w:highlight w:val="none"/>
        </w:rPr>
      </w:pPr>
      <w:r>
        <w:rPr>
          <w:rFonts w:hint="eastAsia" w:ascii="宋体" w:hAnsi="宋体" w:eastAsia="仿宋_GB2312" w:cs="仿宋_GB2312"/>
          <w:color w:val="auto"/>
          <w:spacing w:val="6"/>
          <w:sz w:val="30"/>
          <w:szCs w:val="30"/>
          <w:highlight w:val="none"/>
          <w:lang w:val="en-US" w:eastAsia="zh-CN"/>
        </w:rPr>
        <w:t>核定规范回收处理数量来源于按照《废弃电器电子产品回收处理情况审核工作指南（试行）》的审核、复核结果。</w:t>
      </w:r>
    </w:p>
    <w:p w14:paraId="583A1573">
      <w:pPr>
        <w:keepNext w:val="0"/>
        <w:keepLines w:val="0"/>
        <w:pageBreakBefore w:val="0"/>
        <w:numPr>
          <w:ilvl w:val="0"/>
          <w:numId w:val="0"/>
        </w:numPr>
        <w:pBdr>
          <w:top w:val="none" w:color="auto" w:sz="0" w:space="0"/>
          <w:bottom w:val="none" w:color="auto" w:sz="0" w:space="0"/>
        </w:pBdr>
        <w:kinsoku/>
        <w:wordWrap/>
        <w:overflowPunct w:val="0"/>
        <w:topLinePunct w:val="0"/>
        <w:autoSpaceDE/>
        <w:autoSpaceDN/>
        <w:bidi w:val="0"/>
        <w:adjustRightInd/>
        <w:snapToGrid/>
        <w:spacing w:after="0" w:line="579" w:lineRule="exact"/>
        <w:ind w:left="0" w:firstLine="640" w:firstLineChars="0"/>
        <w:textAlignment w:val="auto"/>
        <w:rPr>
          <w:rFonts w:hint="eastAsia" w:ascii="宋体" w:hAnsi="宋体" w:eastAsia="仿宋_GB2312" w:cs="仿宋_GB2312"/>
          <w:color w:val="auto"/>
          <w:spacing w:val="6"/>
          <w:sz w:val="30"/>
          <w:szCs w:val="30"/>
          <w:highlight w:val="none"/>
          <w:lang w:val="en-US" w:eastAsia="zh-CN"/>
        </w:rPr>
      </w:pPr>
      <w:r>
        <w:rPr>
          <w:rFonts w:hint="eastAsia" w:ascii="宋体" w:hAnsi="宋体" w:eastAsia="黑体" w:cs="黑体"/>
          <w:color w:val="auto"/>
          <w:spacing w:val="6"/>
          <w:sz w:val="30"/>
          <w:szCs w:val="30"/>
          <w:highlight w:val="none"/>
          <w:lang w:val="en-US" w:eastAsia="zh-CN"/>
        </w:rPr>
        <w:t xml:space="preserve">第十八条  </w:t>
      </w:r>
      <w:r>
        <w:rPr>
          <w:rFonts w:hint="eastAsia" w:ascii="宋体" w:hAnsi="宋体" w:eastAsia="仿宋_GB2312" w:cs="仿宋_GB2312"/>
          <w:color w:val="auto"/>
          <w:spacing w:val="6"/>
          <w:sz w:val="30"/>
          <w:szCs w:val="30"/>
          <w:highlight w:val="none"/>
        </w:rPr>
        <w:t>许可核定回收处理产能实际运行负荷率</w:t>
      </w:r>
      <w:r>
        <w:rPr>
          <w:rFonts w:hint="eastAsia" w:ascii="宋体" w:hAnsi="宋体" w:eastAsia="仿宋_GB2312" w:cs="仿宋_GB2312"/>
          <w:color w:val="auto"/>
          <w:spacing w:val="6"/>
          <w:sz w:val="30"/>
          <w:szCs w:val="30"/>
          <w:highlight w:val="none"/>
          <w:lang w:val="en-US" w:eastAsia="zh-CN"/>
        </w:rPr>
        <w:t>计算方法为：企业规范回收处理专项资金支持的废弃电器电子产品数量/</w:t>
      </w:r>
      <w:bookmarkStart w:id="9" w:name="OLE_LINK4"/>
      <w:r>
        <w:rPr>
          <w:rFonts w:hint="eastAsia" w:ascii="宋体" w:hAnsi="宋体" w:eastAsia="仿宋_GB2312" w:cs="仿宋_GB2312"/>
          <w:color w:val="auto"/>
          <w:spacing w:val="6"/>
          <w:sz w:val="30"/>
          <w:szCs w:val="30"/>
          <w:highlight w:val="none"/>
          <w:lang w:val="en-US" w:eastAsia="zh-CN"/>
        </w:rPr>
        <w:t>许可核定企业专项资金支持的废弃电器电子产品回收处理产能</w:t>
      </w:r>
      <w:bookmarkEnd w:id="9"/>
      <w:r>
        <w:rPr>
          <w:rFonts w:hint="eastAsia" w:ascii="宋体" w:hAnsi="宋体" w:eastAsia="仿宋_GB2312" w:cs="仿宋_GB2312"/>
          <w:color w:val="auto"/>
          <w:spacing w:val="6"/>
          <w:sz w:val="30"/>
          <w:szCs w:val="30"/>
          <w:highlight w:val="none"/>
          <w:lang w:val="en-US" w:eastAsia="zh-CN"/>
        </w:rPr>
        <w:t>×100%。如企业每类产品一年内出现多次产能调整的，该类产品产能取各次平均值，许可核定企业专项资金支持的废弃电器电子产品回收处理产能为各相关种类产能平均值相加。</w:t>
      </w:r>
    </w:p>
    <w:p w14:paraId="1FE1F7F6">
      <w:pPr>
        <w:keepNext w:val="0"/>
        <w:keepLines w:val="0"/>
        <w:pageBreakBefore w:val="0"/>
        <w:widowControl w:val="0"/>
        <w:pBdr>
          <w:top w:val="none" w:color="auto" w:sz="0" w:space="0"/>
          <w:bottom w:val="none" w:color="auto" w:sz="0" w:space="0"/>
        </w:pBdr>
        <w:kinsoku/>
        <w:wordWrap/>
        <w:overflowPunct w:val="0"/>
        <w:topLinePunct w:val="0"/>
        <w:autoSpaceDE/>
        <w:autoSpaceDN/>
        <w:bidi w:val="0"/>
        <w:adjustRightInd/>
        <w:snapToGrid/>
        <w:spacing w:after="0" w:line="579" w:lineRule="exact"/>
        <w:ind w:left="0" w:firstLine="624" w:firstLineChars="200"/>
        <w:jc w:val="both"/>
        <w:textAlignment w:val="auto"/>
        <w:rPr>
          <w:rFonts w:hint="eastAsia" w:ascii="宋体" w:hAnsi="宋体" w:eastAsia="仿宋_GB2312" w:cs="仿宋_GB2312"/>
          <w:color w:val="auto"/>
          <w:spacing w:val="6"/>
          <w:sz w:val="30"/>
          <w:szCs w:val="30"/>
          <w:highlight w:val="none"/>
          <w:lang w:val="en-US" w:eastAsia="zh-CN"/>
        </w:rPr>
      </w:pPr>
      <w:r>
        <w:rPr>
          <w:rFonts w:hint="eastAsia" w:ascii="宋体" w:hAnsi="宋体" w:eastAsia="仿宋_GB2312" w:cs="仿宋_GB2312"/>
          <w:color w:val="auto"/>
          <w:spacing w:val="6"/>
          <w:sz w:val="30"/>
          <w:szCs w:val="30"/>
          <w:highlight w:val="none"/>
          <w:lang w:val="en-US" w:eastAsia="zh-CN"/>
        </w:rPr>
        <w:t>家电生产企业自建或控股企业回收处理废弃电器电子产品的，采取以下方式计算处理量：在满足申领专项资金各项条件的前提下，处理量不足200万台的，每台均按0.95计，处理量达200万台及以上的，0到220万台的部分每台按1计，220万台以上部分每台按1.05计。</w:t>
      </w:r>
    </w:p>
    <w:p w14:paraId="19BCA558">
      <w:pPr>
        <w:keepNext w:val="0"/>
        <w:keepLines w:val="0"/>
        <w:pageBreakBefore w:val="0"/>
        <w:widowControl w:val="0"/>
        <w:numPr>
          <w:ilvl w:val="0"/>
          <w:numId w:val="0"/>
        </w:numPr>
        <w:pBdr>
          <w:top w:val="none" w:color="auto" w:sz="0" w:space="0"/>
          <w:bottom w:val="none" w:color="auto" w:sz="0" w:space="0"/>
        </w:pBdr>
        <w:kinsoku/>
        <w:wordWrap/>
        <w:overflowPunct w:val="0"/>
        <w:topLinePunct w:val="0"/>
        <w:autoSpaceDE/>
        <w:autoSpaceDN/>
        <w:bidi w:val="0"/>
        <w:adjustRightInd/>
        <w:snapToGrid/>
        <w:spacing w:after="0" w:line="579" w:lineRule="exact"/>
        <w:ind w:left="0" w:firstLine="624" w:firstLineChars="200"/>
        <w:jc w:val="both"/>
        <w:textAlignment w:val="auto"/>
        <w:rPr>
          <w:rFonts w:hint="eastAsia" w:ascii="宋体" w:hAnsi="宋体" w:eastAsia="仿宋_GB2312" w:cs="仿宋_GB2312"/>
          <w:color w:val="auto"/>
          <w:spacing w:val="6"/>
          <w:sz w:val="30"/>
          <w:szCs w:val="30"/>
          <w:highlight w:val="none"/>
          <w:lang w:val="en-US" w:eastAsia="zh-CN"/>
        </w:rPr>
      </w:pPr>
      <w:r>
        <w:rPr>
          <w:rFonts w:hint="eastAsia" w:ascii="宋体" w:hAnsi="宋体" w:eastAsia="黑体" w:cs="黑体"/>
          <w:color w:val="auto"/>
          <w:spacing w:val="6"/>
          <w:sz w:val="30"/>
          <w:szCs w:val="30"/>
          <w:highlight w:val="none"/>
          <w:lang w:val="en-US" w:eastAsia="zh-CN"/>
        </w:rPr>
        <w:t xml:space="preserve">第十九条  </w:t>
      </w:r>
      <w:r>
        <w:rPr>
          <w:rFonts w:hint="eastAsia" w:ascii="宋体" w:hAnsi="宋体" w:eastAsia="仿宋_GB2312" w:cs="仿宋_GB2312"/>
          <w:color w:val="auto"/>
          <w:spacing w:val="6"/>
          <w:sz w:val="30"/>
          <w:szCs w:val="30"/>
          <w:highlight w:val="none"/>
          <w:lang w:val="en-US" w:eastAsia="zh-CN"/>
        </w:rPr>
        <w:t>许可核定回收处理产能实际运行负荷率因素分配金额，按企业实际运行负荷率之比进行分配。</w:t>
      </w:r>
    </w:p>
    <w:p w14:paraId="02CBC9A9">
      <w:pPr>
        <w:keepNext w:val="0"/>
        <w:keepLines w:val="0"/>
        <w:pageBreakBefore w:val="0"/>
        <w:widowControl w:val="0"/>
        <w:pBdr>
          <w:top w:val="none" w:color="auto" w:sz="0" w:space="0"/>
          <w:bottom w:val="none" w:color="auto" w:sz="0" w:space="0"/>
        </w:pBdr>
        <w:kinsoku/>
        <w:wordWrap/>
        <w:overflowPunct w:val="0"/>
        <w:topLinePunct w:val="0"/>
        <w:autoSpaceDE/>
        <w:autoSpaceDN/>
        <w:bidi w:val="0"/>
        <w:adjustRightInd/>
        <w:snapToGrid/>
        <w:spacing w:after="0" w:line="579" w:lineRule="exact"/>
        <w:ind w:left="0" w:firstLine="624" w:firstLineChars="200"/>
        <w:jc w:val="both"/>
        <w:textAlignment w:val="auto"/>
        <w:rPr>
          <w:rFonts w:hint="eastAsia" w:ascii="宋体" w:hAnsi="宋体" w:eastAsia="仿宋_GB2312" w:cs="仿宋_GB2312"/>
          <w:color w:val="auto"/>
          <w:spacing w:val="6"/>
          <w:sz w:val="30"/>
          <w:szCs w:val="30"/>
          <w:highlight w:val="none"/>
          <w:lang w:val="en-US" w:eastAsia="zh-CN"/>
        </w:rPr>
      </w:pPr>
      <w:r>
        <w:rPr>
          <w:rFonts w:hint="eastAsia" w:ascii="宋体" w:hAnsi="宋体" w:eastAsia="黑体" w:cs="黑体"/>
          <w:color w:val="auto"/>
          <w:spacing w:val="6"/>
          <w:sz w:val="30"/>
          <w:szCs w:val="30"/>
          <w:highlight w:val="none"/>
          <w:lang w:val="en-US" w:eastAsia="zh-CN"/>
        </w:rPr>
        <w:t xml:space="preserve">第二十条  </w:t>
      </w:r>
      <w:r>
        <w:rPr>
          <w:rFonts w:hint="eastAsia" w:ascii="宋体" w:hAnsi="宋体" w:eastAsia="仿宋_GB2312" w:cs="仿宋_GB2312"/>
          <w:color w:val="auto"/>
          <w:spacing w:val="6"/>
          <w:sz w:val="30"/>
          <w:szCs w:val="30"/>
          <w:highlight w:val="none"/>
          <w:lang w:val="en-US" w:eastAsia="zh-CN"/>
        </w:rPr>
        <w:t>省生态环境厅通过废弃电器电子产品回收处理信息管理系统及时掌握行政区域内各企业情况。加强日常监督抽查，对不符合废弃电器电子产品规范处理要求的种类和数量予以核实扣减。企业</w:t>
      </w:r>
      <w:r>
        <w:rPr>
          <w:rFonts w:hint="eastAsia" w:ascii="宋体" w:hAnsi="宋体" w:eastAsia="仿宋_GB2312" w:cs="仿宋_GB2312"/>
          <w:color w:val="auto"/>
          <w:spacing w:val="6"/>
          <w:sz w:val="30"/>
          <w:szCs w:val="30"/>
          <w:highlight w:val="none"/>
          <w:u w:val="none"/>
          <w:lang w:val="en-US" w:eastAsia="zh-CN"/>
        </w:rPr>
        <w:t>多次出现未能规范回收处理或者弄虚作假情形的，视情形扣减专项资金额度或者收回已拨付资金，情节严重的五年内不予受理专项资金申请。</w:t>
      </w:r>
    </w:p>
    <w:p w14:paraId="2D0AF4A0">
      <w:pPr>
        <w:keepNext w:val="0"/>
        <w:keepLines w:val="0"/>
        <w:pageBreakBefore w:val="0"/>
        <w:widowControl w:val="0"/>
        <w:pBdr>
          <w:top w:val="none" w:color="auto" w:sz="0" w:space="0"/>
          <w:bottom w:val="none" w:color="auto" w:sz="0" w:space="0"/>
        </w:pBdr>
        <w:kinsoku/>
        <w:wordWrap/>
        <w:overflowPunct w:val="0"/>
        <w:topLinePunct w:val="0"/>
        <w:autoSpaceDE/>
        <w:autoSpaceDN/>
        <w:bidi w:val="0"/>
        <w:adjustRightInd/>
        <w:snapToGrid/>
        <w:spacing w:after="0" w:line="579" w:lineRule="exact"/>
        <w:ind w:left="0" w:firstLine="624" w:firstLineChars="200"/>
        <w:jc w:val="both"/>
        <w:textAlignment w:val="auto"/>
        <w:rPr>
          <w:rFonts w:hint="eastAsia" w:ascii="宋体" w:hAnsi="宋体" w:eastAsia="仿宋_GB2312" w:cs="仿宋_GB2312"/>
          <w:color w:val="auto"/>
          <w:spacing w:val="6"/>
          <w:sz w:val="30"/>
          <w:szCs w:val="30"/>
          <w:highlight w:val="none"/>
          <w:lang w:val="en-US" w:eastAsia="zh-CN"/>
        </w:rPr>
      </w:pPr>
      <w:r>
        <w:rPr>
          <w:rFonts w:hint="eastAsia" w:ascii="宋体" w:hAnsi="宋体" w:eastAsia="黑体" w:cs="黑体"/>
          <w:color w:val="auto"/>
          <w:spacing w:val="6"/>
          <w:sz w:val="30"/>
          <w:szCs w:val="30"/>
          <w:highlight w:val="none"/>
          <w:lang w:val="en-US" w:eastAsia="zh-CN"/>
        </w:rPr>
        <w:t xml:space="preserve">第二十一条  </w:t>
      </w:r>
      <w:r>
        <w:rPr>
          <w:rFonts w:hint="eastAsia" w:ascii="宋体" w:hAnsi="宋体" w:eastAsia="仿宋_GB2312" w:cs="仿宋_GB2312"/>
          <w:color w:val="auto"/>
          <w:spacing w:val="6"/>
          <w:sz w:val="30"/>
          <w:szCs w:val="30"/>
          <w:highlight w:val="none"/>
        </w:rPr>
        <w:t>专项资金的支付执行国库集中支付制度有关规定。专项资金的结转结余，按照财政部关于结转结余资金管理的相关规定处理。</w:t>
      </w:r>
    </w:p>
    <w:p w14:paraId="1AEB9997">
      <w:pPr>
        <w:keepNext w:val="0"/>
        <w:keepLines w:val="0"/>
        <w:pageBreakBefore w:val="0"/>
        <w:widowControl w:val="0"/>
        <w:pBdr>
          <w:top w:val="none" w:color="auto" w:sz="0" w:space="0"/>
          <w:bottom w:val="none" w:color="auto" w:sz="0" w:space="0"/>
        </w:pBdr>
        <w:kinsoku/>
        <w:wordWrap/>
        <w:overflowPunct w:val="0"/>
        <w:topLinePunct w:val="0"/>
        <w:autoSpaceDE/>
        <w:autoSpaceDN/>
        <w:bidi w:val="0"/>
        <w:adjustRightInd/>
        <w:snapToGrid/>
        <w:spacing w:after="0" w:line="579" w:lineRule="exact"/>
        <w:ind w:left="0"/>
        <w:jc w:val="center"/>
        <w:textAlignment w:val="auto"/>
        <w:rPr>
          <w:rFonts w:hint="eastAsia" w:ascii="宋体" w:hAnsi="宋体" w:eastAsia="方正小标宋简体" w:cs="方正小标宋简体"/>
          <w:color w:val="auto"/>
          <w:spacing w:val="6"/>
          <w:sz w:val="30"/>
          <w:szCs w:val="30"/>
          <w:highlight w:val="none"/>
          <w:lang w:val="en-US" w:eastAsia="zh-CN"/>
        </w:rPr>
      </w:pPr>
    </w:p>
    <w:p w14:paraId="1FB7A29B">
      <w:pPr>
        <w:keepNext w:val="0"/>
        <w:keepLines w:val="0"/>
        <w:pageBreakBefore w:val="0"/>
        <w:widowControl w:val="0"/>
        <w:pBdr>
          <w:top w:val="none" w:color="auto" w:sz="0" w:space="0"/>
          <w:bottom w:val="none" w:color="auto" w:sz="0" w:space="0"/>
        </w:pBdr>
        <w:kinsoku/>
        <w:wordWrap/>
        <w:overflowPunct w:val="0"/>
        <w:topLinePunct w:val="0"/>
        <w:autoSpaceDE/>
        <w:autoSpaceDN/>
        <w:bidi w:val="0"/>
        <w:adjustRightInd/>
        <w:snapToGrid/>
        <w:spacing w:after="0" w:line="579" w:lineRule="exact"/>
        <w:ind w:left="0"/>
        <w:jc w:val="center"/>
        <w:textAlignment w:val="auto"/>
        <w:rPr>
          <w:rFonts w:hint="eastAsia" w:ascii="宋体" w:hAnsi="宋体" w:eastAsia="方正小标宋简体" w:cs="方正小标宋简体"/>
          <w:color w:val="auto"/>
          <w:spacing w:val="6"/>
          <w:sz w:val="30"/>
          <w:szCs w:val="30"/>
          <w:highlight w:val="none"/>
          <w:lang w:val="en-US" w:eastAsia="zh-CN"/>
        </w:rPr>
      </w:pPr>
      <w:r>
        <w:rPr>
          <w:rFonts w:hint="eastAsia" w:ascii="宋体" w:hAnsi="宋体" w:eastAsia="方正小标宋简体" w:cs="方正小标宋简体"/>
          <w:color w:val="auto"/>
          <w:spacing w:val="6"/>
          <w:sz w:val="30"/>
          <w:szCs w:val="30"/>
          <w:highlight w:val="none"/>
          <w:lang w:val="en-US" w:eastAsia="zh-CN"/>
        </w:rPr>
        <w:t>第六章  专项资金拨付</w:t>
      </w:r>
    </w:p>
    <w:p w14:paraId="740A1AFF">
      <w:pPr>
        <w:pStyle w:val="5"/>
        <w:keepNext w:val="0"/>
        <w:keepLines w:val="0"/>
        <w:pageBreakBefore w:val="0"/>
        <w:widowControl w:val="0"/>
        <w:pBdr>
          <w:top w:val="none" w:color="auto" w:sz="0" w:space="0"/>
          <w:bottom w:val="none" w:color="auto" w:sz="0" w:space="0"/>
        </w:pBdr>
        <w:kinsoku/>
        <w:wordWrap/>
        <w:overflowPunct w:val="0"/>
        <w:topLinePunct w:val="0"/>
        <w:autoSpaceDE/>
        <w:autoSpaceDN/>
        <w:bidi w:val="0"/>
        <w:adjustRightInd/>
        <w:snapToGrid/>
        <w:spacing w:before="0" w:beforeAutospacing="0" w:after="0" w:afterAutospacing="0" w:line="579" w:lineRule="exact"/>
        <w:ind w:left="0" w:leftChars="0" w:firstLine="0" w:firstLineChars="0"/>
        <w:jc w:val="center"/>
        <w:textAlignment w:val="auto"/>
        <w:rPr>
          <w:rFonts w:hint="eastAsia" w:ascii="宋体" w:hAnsi="宋体" w:eastAsia="方正小标宋简体" w:cs="方正小标宋简体"/>
          <w:color w:val="auto"/>
          <w:spacing w:val="6"/>
          <w:sz w:val="30"/>
          <w:szCs w:val="30"/>
          <w:highlight w:val="none"/>
          <w:lang w:val="en-US" w:eastAsia="zh-CN"/>
        </w:rPr>
      </w:pPr>
    </w:p>
    <w:p w14:paraId="6524A74A">
      <w:pPr>
        <w:pStyle w:val="5"/>
        <w:keepNext w:val="0"/>
        <w:keepLines w:val="0"/>
        <w:pageBreakBefore w:val="0"/>
        <w:widowControl w:val="0"/>
        <w:pBdr>
          <w:top w:val="none" w:color="auto" w:sz="0" w:space="0"/>
          <w:bottom w:val="none" w:color="auto" w:sz="0" w:space="0"/>
        </w:pBdr>
        <w:kinsoku/>
        <w:wordWrap/>
        <w:overflowPunct w:val="0"/>
        <w:topLinePunct w:val="0"/>
        <w:autoSpaceDE/>
        <w:autoSpaceDN/>
        <w:bidi w:val="0"/>
        <w:adjustRightInd/>
        <w:snapToGrid/>
        <w:spacing w:before="0" w:beforeAutospacing="0" w:after="0" w:afterAutospacing="0" w:line="579" w:lineRule="exact"/>
        <w:ind w:left="0" w:firstLine="624" w:firstLineChars="200"/>
        <w:jc w:val="both"/>
        <w:textAlignment w:val="auto"/>
        <w:rPr>
          <w:rFonts w:hint="eastAsia" w:ascii="宋体" w:hAnsi="宋体" w:eastAsia="仿宋_GB2312" w:cs="仿宋_GB2312"/>
          <w:color w:val="auto"/>
          <w:spacing w:val="6"/>
          <w:kern w:val="2"/>
          <w:sz w:val="30"/>
          <w:szCs w:val="30"/>
          <w:highlight w:val="none"/>
        </w:rPr>
      </w:pPr>
      <w:r>
        <w:rPr>
          <w:rFonts w:hint="eastAsia" w:ascii="宋体" w:hAnsi="宋体" w:eastAsia="黑体" w:cs="黑体"/>
          <w:color w:val="auto"/>
          <w:spacing w:val="6"/>
          <w:sz w:val="30"/>
          <w:szCs w:val="30"/>
          <w:highlight w:val="none"/>
          <w:lang w:val="en-US" w:eastAsia="zh-CN"/>
        </w:rPr>
        <w:t xml:space="preserve">第二十二条  </w:t>
      </w:r>
      <w:r>
        <w:rPr>
          <w:rFonts w:hint="eastAsia" w:ascii="宋体" w:hAnsi="宋体" w:eastAsia="仿宋_GB2312" w:cs="仿宋_GB2312"/>
          <w:color w:val="auto"/>
          <w:spacing w:val="6"/>
          <w:kern w:val="2"/>
          <w:sz w:val="30"/>
          <w:szCs w:val="30"/>
          <w:highlight w:val="none"/>
        </w:rPr>
        <w:t>省财政厅</w:t>
      </w:r>
      <w:r>
        <w:rPr>
          <w:rFonts w:hint="eastAsia" w:ascii="宋体" w:hAnsi="宋体" w:eastAsia="仿宋_GB2312" w:cs="仿宋_GB2312"/>
          <w:color w:val="auto"/>
          <w:spacing w:val="6"/>
          <w:kern w:val="2"/>
          <w:sz w:val="30"/>
          <w:szCs w:val="30"/>
          <w:highlight w:val="none"/>
          <w:lang w:val="en-US" w:eastAsia="zh-CN"/>
        </w:rPr>
        <w:t>在接到专项资金预算后，</w:t>
      </w:r>
      <w:r>
        <w:rPr>
          <w:rFonts w:hint="eastAsia" w:ascii="宋体" w:hAnsi="宋体" w:eastAsia="仿宋_GB2312" w:cs="仿宋_GB2312"/>
          <w:color w:val="auto"/>
          <w:spacing w:val="6"/>
          <w:sz w:val="30"/>
          <w:szCs w:val="30"/>
          <w:highlight w:val="none"/>
          <w:lang w:val="en-US" w:eastAsia="zh-CN"/>
        </w:rPr>
        <w:t>应当会同省生态环境厅在</w:t>
      </w:r>
      <w:r>
        <w:rPr>
          <w:rFonts w:hint="eastAsia" w:ascii="宋体" w:hAnsi="宋体" w:eastAsia="仿宋_GB2312" w:cs="仿宋_GB2312"/>
          <w:color w:val="auto"/>
          <w:spacing w:val="6"/>
          <w:sz w:val="30"/>
          <w:szCs w:val="30"/>
          <w:highlight w:val="none"/>
        </w:rPr>
        <w:t>30日内及时分配下达资金</w:t>
      </w:r>
      <w:r>
        <w:rPr>
          <w:rFonts w:hint="eastAsia" w:ascii="宋体" w:hAnsi="宋体" w:eastAsia="仿宋_GB2312" w:cs="仿宋_GB2312"/>
          <w:color w:val="auto"/>
          <w:spacing w:val="6"/>
          <w:kern w:val="2"/>
          <w:sz w:val="30"/>
          <w:szCs w:val="30"/>
          <w:highlight w:val="none"/>
          <w:lang w:eastAsia="zh-CN"/>
        </w:rPr>
        <w:t>。</w:t>
      </w:r>
      <w:r>
        <w:rPr>
          <w:rFonts w:hint="eastAsia" w:ascii="宋体" w:hAnsi="宋体" w:eastAsia="仿宋_GB2312" w:cs="仿宋_GB2312"/>
          <w:color w:val="auto"/>
          <w:spacing w:val="6"/>
          <w:kern w:val="2"/>
          <w:sz w:val="30"/>
          <w:szCs w:val="30"/>
          <w:highlight w:val="none"/>
          <w:lang w:val="en-US" w:eastAsia="zh-CN"/>
        </w:rPr>
        <w:t>同时将</w:t>
      </w:r>
      <w:r>
        <w:rPr>
          <w:rFonts w:hint="eastAsia" w:ascii="宋体" w:hAnsi="宋体" w:eastAsia="仿宋_GB2312" w:cs="仿宋_GB2312"/>
          <w:color w:val="auto"/>
          <w:spacing w:val="6"/>
          <w:kern w:val="2"/>
          <w:sz w:val="30"/>
          <w:szCs w:val="30"/>
          <w:highlight w:val="none"/>
        </w:rPr>
        <w:t>资金分配结果报财政部、生态环境部备案，并抄送财政部</w:t>
      </w:r>
      <w:r>
        <w:rPr>
          <w:rFonts w:hint="eastAsia" w:ascii="宋体" w:hAnsi="宋体" w:eastAsia="仿宋_GB2312" w:cs="仿宋_GB2312"/>
          <w:color w:val="auto"/>
          <w:spacing w:val="6"/>
          <w:kern w:val="2"/>
          <w:sz w:val="30"/>
          <w:szCs w:val="30"/>
          <w:highlight w:val="none"/>
          <w:lang w:val="en-US" w:eastAsia="zh-CN"/>
        </w:rPr>
        <w:t>云南</w:t>
      </w:r>
      <w:r>
        <w:rPr>
          <w:rFonts w:hint="eastAsia" w:ascii="宋体" w:hAnsi="宋体" w:eastAsia="仿宋_GB2312" w:cs="仿宋_GB2312"/>
          <w:color w:val="auto"/>
          <w:spacing w:val="6"/>
          <w:kern w:val="2"/>
          <w:sz w:val="30"/>
          <w:szCs w:val="30"/>
          <w:highlight w:val="none"/>
        </w:rPr>
        <w:t>监管局。</w:t>
      </w:r>
    </w:p>
    <w:p w14:paraId="68E96C71">
      <w:pPr>
        <w:keepNext w:val="0"/>
        <w:keepLines w:val="0"/>
        <w:pageBreakBefore w:val="0"/>
        <w:widowControl w:val="0"/>
        <w:numPr>
          <w:ilvl w:val="0"/>
          <w:numId w:val="0"/>
        </w:numPr>
        <w:pBdr>
          <w:top w:val="none" w:color="auto" w:sz="0" w:space="0"/>
          <w:bottom w:val="none" w:color="auto" w:sz="0" w:space="0"/>
        </w:pBdr>
        <w:kinsoku/>
        <w:wordWrap/>
        <w:overflowPunct w:val="0"/>
        <w:topLinePunct w:val="0"/>
        <w:autoSpaceDE/>
        <w:autoSpaceDN/>
        <w:bidi w:val="0"/>
        <w:adjustRightInd/>
        <w:snapToGrid/>
        <w:spacing w:after="0" w:line="579" w:lineRule="exact"/>
        <w:ind w:left="0" w:firstLine="624" w:firstLineChars="200"/>
        <w:jc w:val="both"/>
        <w:textAlignment w:val="auto"/>
        <w:rPr>
          <w:rFonts w:hint="eastAsia" w:ascii="宋体" w:hAnsi="宋体" w:eastAsia="仿宋_GB2312" w:cs="仿宋_GB2312"/>
          <w:color w:val="auto"/>
          <w:spacing w:val="6"/>
          <w:sz w:val="30"/>
          <w:szCs w:val="30"/>
          <w:highlight w:val="none"/>
          <w:lang w:val="en-US" w:eastAsia="zh-CN"/>
        </w:rPr>
      </w:pPr>
      <w:r>
        <w:rPr>
          <w:rFonts w:hint="eastAsia" w:ascii="宋体" w:hAnsi="宋体" w:eastAsia="黑体" w:cs="黑体"/>
          <w:color w:val="auto"/>
          <w:spacing w:val="6"/>
          <w:sz w:val="30"/>
          <w:szCs w:val="30"/>
          <w:highlight w:val="none"/>
          <w:lang w:val="en-US" w:eastAsia="zh-CN"/>
        </w:rPr>
        <w:t xml:space="preserve">第二十三条  </w:t>
      </w:r>
      <w:r>
        <w:rPr>
          <w:rFonts w:hint="eastAsia" w:ascii="宋体" w:hAnsi="宋体" w:eastAsia="仿宋_GB2312" w:cs="仿宋_GB2312"/>
          <w:color w:val="auto"/>
          <w:spacing w:val="6"/>
          <w:sz w:val="30"/>
          <w:szCs w:val="30"/>
          <w:highlight w:val="none"/>
          <w:lang w:val="en-US" w:eastAsia="zh-CN"/>
        </w:rPr>
        <w:t>申领专项资金企业应编制申领专项资金材料，并对有关数据和信息的真实性、准确性负责。申领专项资金材料应对核定规范拆解量、实际运行负荷率、绩效目标达成情况及环境守法情况进行说明。</w:t>
      </w:r>
    </w:p>
    <w:p w14:paraId="6E163EC8">
      <w:pPr>
        <w:keepNext w:val="0"/>
        <w:keepLines w:val="0"/>
        <w:pageBreakBefore w:val="0"/>
        <w:widowControl w:val="0"/>
        <w:numPr>
          <w:ilvl w:val="0"/>
          <w:numId w:val="0"/>
        </w:numPr>
        <w:pBdr>
          <w:top w:val="none" w:color="auto" w:sz="0" w:space="0"/>
          <w:bottom w:val="none" w:color="auto" w:sz="0" w:space="0"/>
        </w:pBdr>
        <w:kinsoku/>
        <w:wordWrap/>
        <w:overflowPunct w:val="0"/>
        <w:topLinePunct w:val="0"/>
        <w:autoSpaceDE/>
        <w:autoSpaceDN/>
        <w:bidi w:val="0"/>
        <w:adjustRightInd/>
        <w:snapToGrid/>
        <w:spacing w:after="0" w:line="579" w:lineRule="exact"/>
        <w:ind w:left="0" w:firstLine="624" w:firstLineChars="200"/>
        <w:jc w:val="both"/>
        <w:textAlignment w:val="auto"/>
        <w:rPr>
          <w:rFonts w:hint="eastAsia" w:ascii="宋体" w:hAnsi="宋体" w:eastAsia="仿宋_GB2312" w:cs="仿宋_GB2312"/>
          <w:color w:val="auto"/>
          <w:spacing w:val="6"/>
          <w:sz w:val="30"/>
          <w:szCs w:val="30"/>
          <w:highlight w:val="none"/>
          <w:lang w:val="en-US" w:eastAsia="zh-CN"/>
        </w:rPr>
      </w:pPr>
      <w:r>
        <w:rPr>
          <w:rFonts w:hint="eastAsia" w:ascii="宋体" w:hAnsi="宋体" w:eastAsia="仿宋_GB2312" w:cs="仿宋_GB2312"/>
          <w:color w:val="auto"/>
          <w:spacing w:val="6"/>
          <w:sz w:val="30"/>
          <w:szCs w:val="30"/>
          <w:highlight w:val="none"/>
          <w:lang w:val="en-US" w:eastAsia="zh-CN"/>
        </w:rPr>
        <w:t>申领专项资金材料报相关州（市）生态环境局，相关州（市）生态环境局提出意见并上报省生态环境厅。省生态环境厅根据申领专项资金材料、相关州（市）意见及日常监管情况，编制专项资金分配建议方案。专项资金分配建议方案按要求向社会公示，接受监督。</w:t>
      </w:r>
    </w:p>
    <w:p w14:paraId="5D37207A">
      <w:pPr>
        <w:keepNext w:val="0"/>
        <w:keepLines w:val="0"/>
        <w:pageBreakBefore w:val="0"/>
        <w:widowControl w:val="0"/>
        <w:pBdr>
          <w:top w:val="none" w:color="auto" w:sz="0" w:space="0"/>
          <w:bottom w:val="none" w:color="auto" w:sz="0" w:space="0"/>
        </w:pBdr>
        <w:kinsoku/>
        <w:wordWrap/>
        <w:overflowPunct w:val="0"/>
        <w:topLinePunct w:val="0"/>
        <w:autoSpaceDE/>
        <w:autoSpaceDN/>
        <w:bidi w:val="0"/>
        <w:adjustRightInd/>
        <w:snapToGrid/>
        <w:spacing w:after="0" w:line="579" w:lineRule="exact"/>
        <w:ind w:left="0"/>
        <w:jc w:val="center"/>
        <w:textAlignment w:val="auto"/>
        <w:rPr>
          <w:rFonts w:hint="eastAsia" w:ascii="宋体" w:hAnsi="宋体" w:eastAsia="方正小标宋简体" w:cs="方正小标宋简体"/>
          <w:color w:val="auto"/>
          <w:spacing w:val="6"/>
          <w:sz w:val="30"/>
          <w:szCs w:val="30"/>
          <w:highlight w:val="none"/>
        </w:rPr>
      </w:pPr>
    </w:p>
    <w:p w14:paraId="0566216E">
      <w:pPr>
        <w:keepNext w:val="0"/>
        <w:keepLines w:val="0"/>
        <w:pageBreakBefore w:val="0"/>
        <w:widowControl w:val="0"/>
        <w:pBdr>
          <w:top w:val="none" w:color="auto" w:sz="0" w:space="0"/>
          <w:bottom w:val="none" w:color="auto" w:sz="0" w:space="0"/>
        </w:pBdr>
        <w:kinsoku/>
        <w:wordWrap/>
        <w:overflowPunct w:val="0"/>
        <w:topLinePunct w:val="0"/>
        <w:autoSpaceDE/>
        <w:autoSpaceDN/>
        <w:bidi w:val="0"/>
        <w:adjustRightInd/>
        <w:snapToGrid/>
        <w:spacing w:after="0" w:line="579" w:lineRule="exact"/>
        <w:ind w:left="0"/>
        <w:jc w:val="center"/>
        <w:textAlignment w:val="auto"/>
        <w:rPr>
          <w:rFonts w:hint="eastAsia" w:ascii="宋体" w:hAnsi="宋体" w:eastAsia="方正小标宋简体" w:cs="方正小标宋简体"/>
          <w:color w:val="auto"/>
          <w:spacing w:val="6"/>
          <w:sz w:val="30"/>
          <w:szCs w:val="30"/>
          <w:highlight w:val="none"/>
        </w:rPr>
      </w:pPr>
      <w:r>
        <w:rPr>
          <w:rFonts w:hint="eastAsia" w:ascii="宋体" w:hAnsi="宋体" w:eastAsia="方正小标宋简体" w:cs="方正小标宋简体"/>
          <w:color w:val="auto"/>
          <w:spacing w:val="6"/>
          <w:sz w:val="30"/>
          <w:szCs w:val="30"/>
          <w:highlight w:val="none"/>
        </w:rPr>
        <w:t>第</w:t>
      </w:r>
      <w:r>
        <w:rPr>
          <w:rFonts w:hint="eastAsia" w:ascii="宋体" w:hAnsi="宋体" w:eastAsia="方正小标宋简体" w:cs="方正小标宋简体"/>
          <w:color w:val="auto"/>
          <w:spacing w:val="6"/>
          <w:sz w:val="30"/>
          <w:szCs w:val="30"/>
          <w:highlight w:val="none"/>
          <w:lang w:val="en-US" w:eastAsia="zh-CN"/>
        </w:rPr>
        <w:t>七</w:t>
      </w:r>
      <w:r>
        <w:rPr>
          <w:rFonts w:hint="eastAsia" w:ascii="宋体" w:hAnsi="宋体" w:eastAsia="方正小标宋简体" w:cs="方正小标宋简体"/>
          <w:color w:val="auto"/>
          <w:spacing w:val="6"/>
          <w:sz w:val="30"/>
          <w:szCs w:val="30"/>
          <w:highlight w:val="none"/>
        </w:rPr>
        <w:t xml:space="preserve">章 </w:t>
      </w:r>
      <w:r>
        <w:rPr>
          <w:rFonts w:hint="eastAsia" w:ascii="宋体" w:hAnsi="宋体" w:eastAsia="方正小标宋简体" w:cs="方正小标宋简体"/>
          <w:color w:val="auto"/>
          <w:spacing w:val="6"/>
          <w:sz w:val="30"/>
          <w:szCs w:val="30"/>
          <w:highlight w:val="none"/>
          <w:lang w:val="en-US" w:eastAsia="zh-CN"/>
        </w:rPr>
        <w:t xml:space="preserve"> </w:t>
      </w:r>
      <w:r>
        <w:rPr>
          <w:rFonts w:hint="eastAsia" w:ascii="宋体" w:hAnsi="宋体" w:eastAsia="方正小标宋简体" w:cs="方正小标宋简体"/>
          <w:color w:val="auto"/>
          <w:spacing w:val="6"/>
          <w:sz w:val="30"/>
          <w:szCs w:val="30"/>
          <w:highlight w:val="none"/>
        </w:rPr>
        <w:t>绩效管理与监督</w:t>
      </w:r>
    </w:p>
    <w:p w14:paraId="568CD8BC">
      <w:pPr>
        <w:keepNext w:val="0"/>
        <w:keepLines w:val="0"/>
        <w:pageBreakBefore w:val="0"/>
        <w:widowControl w:val="0"/>
        <w:pBdr>
          <w:top w:val="none" w:color="auto" w:sz="0" w:space="0"/>
          <w:bottom w:val="none" w:color="auto" w:sz="0" w:space="0"/>
        </w:pBdr>
        <w:kinsoku/>
        <w:wordWrap/>
        <w:overflowPunct w:val="0"/>
        <w:topLinePunct w:val="0"/>
        <w:autoSpaceDE/>
        <w:autoSpaceDN/>
        <w:bidi w:val="0"/>
        <w:adjustRightInd/>
        <w:snapToGrid/>
        <w:spacing w:beforeAutospacing="0" w:after="0" w:line="579" w:lineRule="exact"/>
        <w:jc w:val="center"/>
        <w:textAlignment w:val="auto"/>
        <w:rPr>
          <w:rFonts w:hint="eastAsia" w:ascii="宋体" w:hAnsi="宋体" w:eastAsia="方正小标宋简体" w:cs="方正小标宋简体"/>
          <w:color w:val="auto"/>
          <w:spacing w:val="6"/>
          <w:sz w:val="30"/>
          <w:szCs w:val="30"/>
          <w:highlight w:val="none"/>
        </w:rPr>
      </w:pPr>
    </w:p>
    <w:p w14:paraId="1993518A">
      <w:pPr>
        <w:keepNext w:val="0"/>
        <w:keepLines w:val="0"/>
        <w:pageBreakBefore w:val="0"/>
        <w:widowControl w:val="0"/>
        <w:pBdr>
          <w:top w:val="none" w:color="auto" w:sz="0" w:space="0"/>
          <w:bottom w:val="none" w:color="auto" w:sz="0" w:space="0"/>
        </w:pBdr>
        <w:kinsoku/>
        <w:wordWrap/>
        <w:overflowPunct w:val="0"/>
        <w:topLinePunct w:val="0"/>
        <w:autoSpaceDE/>
        <w:autoSpaceDN/>
        <w:bidi w:val="0"/>
        <w:adjustRightInd/>
        <w:snapToGrid/>
        <w:spacing w:beforeAutospacing="0" w:after="0" w:line="579" w:lineRule="exact"/>
        <w:ind w:left="0" w:firstLine="624" w:firstLineChars="200"/>
        <w:jc w:val="both"/>
        <w:textAlignment w:val="auto"/>
        <w:rPr>
          <w:rFonts w:hint="eastAsia" w:ascii="宋体" w:hAnsi="宋体" w:eastAsia="仿宋_GB2312" w:cs="仿宋_GB2312"/>
          <w:color w:val="auto"/>
          <w:spacing w:val="6"/>
          <w:sz w:val="30"/>
          <w:szCs w:val="30"/>
          <w:highlight w:val="none"/>
        </w:rPr>
      </w:pPr>
      <w:r>
        <w:rPr>
          <w:rFonts w:hint="eastAsia" w:ascii="宋体" w:hAnsi="宋体" w:eastAsia="黑体" w:cs="黑体"/>
          <w:color w:val="auto"/>
          <w:spacing w:val="6"/>
          <w:sz w:val="30"/>
          <w:szCs w:val="30"/>
          <w:highlight w:val="none"/>
        </w:rPr>
        <w:t>第</w:t>
      </w:r>
      <w:r>
        <w:rPr>
          <w:rFonts w:hint="eastAsia" w:ascii="宋体" w:hAnsi="宋体" w:eastAsia="黑体" w:cs="黑体"/>
          <w:color w:val="auto"/>
          <w:spacing w:val="6"/>
          <w:sz w:val="30"/>
          <w:szCs w:val="30"/>
          <w:highlight w:val="none"/>
          <w:lang w:val="en-US" w:eastAsia="zh-CN"/>
        </w:rPr>
        <w:t>二十四</w:t>
      </w:r>
      <w:r>
        <w:rPr>
          <w:rFonts w:hint="eastAsia" w:ascii="宋体" w:hAnsi="宋体" w:eastAsia="黑体" w:cs="黑体"/>
          <w:color w:val="auto"/>
          <w:spacing w:val="6"/>
          <w:sz w:val="30"/>
          <w:szCs w:val="30"/>
          <w:highlight w:val="none"/>
        </w:rPr>
        <w:t>条</w:t>
      </w:r>
      <w:r>
        <w:rPr>
          <w:rFonts w:hint="eastAsia" w:ascii="宋体" w:hAnsi="宋体" w:eastAsia="黑体" w:cs="黑体"/>
          <w:color w:val="auto"/>
          <w:spacing w:val="6"/>
          <w:sz w:val="30"/>
          <w:szCs w:val="30"/>
          <w:highlight w:val="none"/>
          <w:lang w:val="en-US" w:eastAsia="zh-CN"/>
        </w:rPr>
        <w:t xml:space="preserve"> </w:t>
      </w:r>
      <w:r>
        <w:rPr>
          <w:rFonts w:hint="eastAsia" w:ascii="宋体" w:hAnsi="宋体" w:eastAsia="黑体" w:cs="黑体"/>
          <w:color w:val="auto"/>
          <w:spacing w:val="6"/>
          <w:sz w:val="30"/>
          <w:szCs w:val="30"/>
          <w:highlight w:val="none"/>
        </w:rPr>
        <w:t xml:space="preserve"> </w:t>
      </w:r>
      <w:r>
        <w:rPr>
          <w:rFonts w:hint="eastAsia" w:ascii="宋体" w:hAnsi="宋体" w:eastAsia="仿宋_GB2312" w:cs="仿宋_GB2312"/>
          <w:color w:val="auto"/>
          <w:spacing w:val="6"/>
          <w:sz w:val="30"/>
          <w:szCs w:val="30"/>
          <w:highlight w:val="none"/>
        </w:rPr>
        <w:t>省财政厅、</w:t>
      </w:r>
      <w:r>
        <w:rPr>
          <w:rFonts w:hint="eastAsia" w:ascii="宋体" w:hAnsi="宋体" w:eastAsia="仿宋_GB2312" w:cs="仿宋_GB2312"/>
          <w:color w:val="auto"/>
          <w:spacing w:val="6"/>
          <w:sz w:val="30"/>
          <w:szCs w:val="30"/>
          <w:highlight w:val="none"/>
          <w:lang w:val="en-US" w:eastAsia="zh-CN"/>
        </w:rPr>
        <w:t>省</w:t>
      </w:r>
      <w:r>
        <w:rPr>
          <w:rFonts w:hint="eastAsia" w:ascii="宋体" w:hAnsi="宋体" w:eastAsia="仿宋_GB2312" w:cs="仿宋_GB2312"/>
          <w:color w:val="auto"/>
          <w:spacing w:val="6"/>
          <w:sz w:val="30"/>
          <w:szCs w:val="30"/>
          <w:highlight w:val="none"/>
        </w:rPr>
        <w:t>生态环境厅加强资金分配及使用管理，按照全面实施预算绩效管理的要求</w:t>
      </w:r>
      <w:r>
        <w:rPr>
          <w:rFonts w:hint="eastAsia" w:ascii="宋体" w:hAnsi="宋体" w:eastAsia="仿宋_GB2312" w:cs="仿宋_GB2312"/>
          <w:color w:val="auto"/>
          <w:spacing w:val="6"/>
          <w:sz w:val="30"/>
          <w:szCs w:val="30"/>
          <w:highlight w:val="none"/>
          <w:lang w:eastAsia="zh-CN"/>
        </w:rPr>
        <w:t>，</w:t>
      </w:r>
      <w:r>
        <w:rPr>
          <w:rFonts w:hint="eastAsia" w:ascii="宋体" w:hAnsi="宋体" w:eastAsia="仿宋_GB2312" w:cs="仿宋_GB2312"/>
          <w:color w:val="auto"/>
          <w:spacing w:val="6"/>
          <w:sz w:val="30"/>
          <w:szCs w:val="30"/>
          <w:highlight w:val="none"/>
        </w:rPr>
        <w:t>强化绩效目标管理和预算执行，做好绩效运行监控与绩效评价</w:t>
      </w:r>
      <w:r>
        <w:rPr>
          <w:rFonts w:hint="eastAsia" w:ascii="宋体" w:hAnsi="宋体" w:eastAsia="仿宋_GB2312" w:cs="仿宋_GB2312"/>
          <w:color w:val="auto"/>
          <w:spacing w:val="6"/>
          <w:sz w:val="30"/>
          <w:szCs w:val="30"/>
          <w:highlight w:val="none"/>
          <w:lang w:eastAsia="zh-CN"/>
        </w:rPr>
        <w:t>，</w:t>
      </w:r>
      <w:r>
        <w:rPr>
          <w:rFonts w:hint="eastAsia" w:ascii="宋体" w:hAnsi="宋体" w:eastAsia="仿宋_GB2312" w:cs="仿宋_GB2312"/>
          <w:color w:val="auto"/>
          <w:spacing w:val="6"/>
          <w:sz w:val="30"/>
          <w:szCs w:val="30"/>
          <w:highlight w:val="none"/>
        </w:rPr>
        <w:t>不断提高资金使用绩效，加强评价结果应用。</w:t>
      </w:r>
      <w:r>
        <w:rPr>
          <w:rFonts w:hint="eastAsia" w:ascii="宋体" w:hAnsi="宋体" w:eastAsia="仿宋_GB2312" w:cs="仿宋_GB2312"/>
          <w:color w:val="auto"/>
          <w:spacing w:val="6"/>
          <w:sz w:val="30"/>
          <w:szCs w:val="30"/>
          <w:highlight w:val="none"/>
          <w:lang w:val="en-US" w:eastAsia="zh-CN"/>
        </w:rPr>
        <w:t>各级财政、</w:t>
      </w:r>
      <w:r>
        <w:rPr>
          <w:rFonts w:hint="eastAsia" w:ascii="宋体" w:hAnsi="宋体" w:eastAsia="仿宋_GB2312" w:cs="仿宋_GB2312"/>
          <w:color w:val="auto"/>
          <w:spacing w:val="6"/>
          <w:sz w:val="30"/>
          <w:szCs w:val="30"/>
          <w:highlight w:val="none"/>
        </w:rPr>
        <w:t>生态环境</w:t>
      </w:r>
      <w:r>
        <w:rPr>
          <w:rFonts w:hint="eastAsia" w:ascii="宋体" w:hAnsi="宋体" w:eastAsia="仿宋_GB2312" w:cs="仿宋_GB2312"/>
          <w:color w:val="auto"/>
          <w:spacing w:val="6"/>
          <w:sz w:val="30"/>
          <w:szCs w:val="30"/>
          <w:highlight w:val="none"/>
          <w:lang w:val="en-US" w:eastAsia="zh-CN"/>
        </w:rPr>
        <w:t>部门</w:t>
      </w:r>
      <w:r>
        <w:rPr>
          <w:rFonts w:hint="eastAsia" w:ascii="宋体" w:hAnsi="宋体" w:eastAsia="仿宋_GB2312" w:cs="仿宋_GB2312"/>
          <w:color w:val="auto"/>
          <w:spacing w:val="6"/>
          <w:sz w:val="30"/>
          <w:szCs w:val="30"/>
          <w:highlight w:val="none"/>
        </w:rPr>
        <w:t>发现违规分配使用资金、骗取专项资金等重大问题的，应当按照程序及时上报。</w:t>
      </w:r>
    </w:p>
    <w:p w14:paraId="4BAA97F1">
      <w:pPr>
        <w:pStyle w:val="5"/>
        <w:keepNext w:val="0"/>
        <w:keepLines w:val="0"/>
        <w:pageBreakBefore w:val="0"/>
        <w:widowControl w:val="0"/>
        <w:pBdr>
          <w:top w:val="none" w:color="auto" w:sz="0" w:space="0"/>
          <w:bottom w:val="none" w:color="auto" w:sz="0" w:space="0"/>
        </w:pBdr>
        <w:kinsoku/>
        <w:wordWrap/>
        <w:overflowPunct w:val="0"/>
        <w:topLinePunct w:val="0"/>
        <w:autoSpaceDE/>
        <w:autoSpaceDN/>
        <w:bidi w:val="0"/>
        <w:adjustRightInd/>
        <w:snapToGrid/>
        <w:spacing w:before="0" w:beforeAutospacing="0" w:after="0" w:afterAutospacing="0" w:line="579" w:lineRule="exact"/>
        <w:ind w:left="0" w:firstLine="624" w:firstLineChars="200"/>
        <w:jc w:val="both"/>
        <w:textAlignment w:val="auto"/>
        <w:rPr>
          <w:rFonts w:hint="eastAsia" w:ascii="宋体" w:hAnsi="宋体" w:eastAsia="仿宋_GB2312" w:cs="仿宋_GB2312"/>
          <w:color w:val="auto"/>
          <w:spacing w:val="6"/>
          <w:kern w:val="2"/>
          <w:sz w:val="30"/>
          <w:szCs w:val="30"/>
          <w:highlight w:val="none"/>
        </w:rPr>
      </w:pPr>
      <w:r>
        <w:rPr>
          <w:rFonts w:hint="eastAsia" w:ascii="宋体" w:hAnsi="宋体" w:eastAsia="黑体" w:cs="黑体"/>
          <w:bCs/>
          <w:color w:val="auto"/>
          <w:spacing w:val="6"/>
          <w:kern w:val="2"/>
          <w:sz w:val="30"/>
          <w:szCs w:val="30"/>
          <w:highlight w:val="none"/>
        </w:rPr>
        <w:t>第</w:t>
      </w:r>
      <w:r>
        <w:rPr>
          <w:rFonts w:hint="eastAsia" w:ascii="宋体" w:hAnsi="宋体" w:eastAsia="黑体" w:cs="黑体"/>
          <w:bCs/>
          <w:color w:val="auto"/>
          <w:spacing w:val="6"/>
          <w:kern w:val="2"/>
          <w:sz w:val="30"/>
          <w:szCs w:val="30"/>
          <w:highlight w:val="none"/>
          <w:lang w:val="en-US" w:eastAsia="zh-CN"/>
        </w:rPr>
        <w:t>二十五</w:t>
      </w:r>
      <w:r>
        <w:rPr>
          <w:rFonts w:hint="eastAsia" w:ascii="宋体" w:hAnsi="宋体" w:eastAsia="黑体" w:cs="黑体"/>
          <w:bCs/>
          <w:color w:val="auto"/>
          <w:spacing w:val="6"/>
          <w:kern w:val="2"/>
          <w:sz w:val="30"/>
          <w:szCs w:val="30"/>
          <w:highlight w:val="none"/>
        </w:rPr>
        <w:t>条</w:t>
      </w:r>
      <w:r>
        <w:rPr>
          <w:rFonts w:hint="eastAsia" w:ascii="宋体" w:hAnsi="宋体" w:eastAsia="黑体" w:cs="黑体"/>
          <w:bCs/>
          <w:color w:val="auto"/>
          <w:spacing w:val="6"/>
          <w:kern w:val="2"/>
          <w:sz w:val="30"/>
          <w:szCs w:val="30"/>
          <w:highlight w:val="none"/>
          <w:lang w:val="en-US" w:eastAsia="zh-CN"/>
        </w:rPr>
        <w:t xml:space="preserve"> </w:t>
      </w:r>
      <w:r>
        <w:rPr>
          <w:rFonts w:hint="eastAsia" w:ascii="宋体" w:hAnsi="宋体" w:eastAsia="方正黑体_GBK" w:cs="Times New Roman"/>
          <w:bCs/>
          <w:color w:val="auto"/>
          <w:spacing w:val="6"/>
          <w:kern w:val="2"/>
          <w:sz w:val="30"/>
          <w:szCs w:val="30"/>
          <w:highlight w:val="none"/>
          <w:lang w:val="en-US" w:eastAsia="zh-CN"/>
        </w:rPr>
        <w:t xml:space="preserve"> </w:t>
      </w:r>
      <w:r>
        <w:rPr>
          <w:rFonts w:hint="eastAsia" w:ascii="宋体" w:hAnsi="宋体" w:eastAsia="仿宋_GB2312" w:cs="仿宋_GB2312"/>
          <w:color w:val="auto"/>
          <w:spacing w:val="6"/>
          <w:kern w:val="2"/>
          <w:sz w:val="30"/>
          <w:szCs w:val="30"/>
          <w:highlight w:val="none"/>
        </w:rPr>
        <w:t>任何单位和个人不得截留、挤占和挪用专项资金。对于违反国家法律、行政法规和有关规定的单位和个人，有关部门应当及时制止和纠正，并严格按照《中华人民共和国预算法》及其实施条例、《财政违法行为处罚处分条例》等予以处理。构成犯罪的，依法追究刑事责任。</w:t>
      </w:r>
    </w:p>
    <w:p w14:paraId="45565F79">
      <w:pPr>
        <w:pStyle w:val="5"/>
        <w:keepNext w:val="0"/>
        <w:keepLines w:val="0"/>
        <w:pageBreakBefore w:val="0"/>
        <w:widowControl w:val="0"/>
        <w:pBdr>
          <w:top w:val="none" w:color="auto" w:sz="0" w:space="0"/>
          <w:bottom w:val="none" w:color="auto" w:sz="0" w:space="0"/>
        </w:pBdr>
        <w:kinsoku/>
        <w:wordWrap/>
        <w:overflowPunct w:val="0"/>
        <w:topLinePunct w:val="0"/>
        <w:autoSpaceDE/>
        <w:autoSpaceDN/>
        <w:bidi w:val="0"/>
        <w:adjustRightInd/>
        <w:snapToGrid/>
        <w:spacing w:before="0" w:beforeAutospacing="0" w:after="0" w:afterAutospacing="0" w:line="579" w:lineRule="exact"/>
        <w:ind w:left="0" w:firstLine="624" w:firstLineChars="200"/>
        <w:jc w:val="both"/>
        <w:textAlignment w:val="auto"/>
        <w:rPr>
          <w:rFonts w:hint="eastAsia" w:ascii="宋体" w:hAnsi="宋体" w:eastAsia="仿宋_GB2312" w:cs="仿宋_GB2312"/>
          <w:color w:val="auto"/>
          <w:spacing w:val="6"/>
          <w:kern w:val="2"/>
          <w:sz w:val="30"/>
          <w:szCs w:val="30"/>
          <w:highlight w:val="none"/>
        </w:rPr>
      </w:pPr>
      <w:r>
        <w:rPr>
          <w:rFonts w:hint="eastAsia" w:ascii="宋体" w:hAnsi="宋体" w:eastAsia="黑体" w:cs="黑体"/>
          <w:bCs/>
          <w:color w:val="auto"/>
          <w:spacing w:val="6"/>
          <w:kern w:val="2"/>
          <w:sz w:val="30"/>
          <w:szCs w:val="30"/>
          <w:highlight w:val="none"/>
        </w:rPr>
        <w:t>第</w:t>
      </w:r>
      <w:r>
        <w:rPr>
          <w:rFonts w:hint="eastAsia" w:ascii="宋体" w:hAnsi="宋体" w:eastAsia="黑体" w:cs="黑体"/>
          <w:bCs/>
          <w:color w:val="auto"/>
          <w:spacing w:val="6"/>
          <w:kern w:val="2"/>
          <w:sz w:val="30"/>
          <w:szCs w:val="30"/>
          <w:highlight w:val="none"/>
          <w:lang w:val="en-US" w:eastAsia="zh-CN"/>
        </w:rPr>
        <w:t>二十六</w:t>
      </w:r>
      <w:r>
        <w:rPr>
          <w:rFonts w:hint="eastAsia" w:ascii="宋体" w:hAnsi="宋体" w:eastAsia="黑体" w:cs="黑体"/>
          <w:bCs/>
          <w:color w:val="auto"/>
          <w:spacing w:val="6"/>
          <w:kern w:val="2"/>
          <w:sz w:val="30"/>
          <w:szCs w:val="30"/>
          <w:highlight w:val="none"/>
        </w:rPr>
        <w:t>条</w:t>
      </w:r>
      <w:r>
        <w:rPr>
          <w:rFonts w:hint="eastAsia" w:ascii="宋体" w:hAnsi="宋体" w:eastAsia="黑体" w:cs="黑体"/>
          <w:b/>
          <w:bCs/>
          <w:color w:val="auto"/>
          <w:spacing w:val="6"/>
          <w:kern w:val="2"/>
          <w:sz w:val="30"/>
          <w:szCs w:val="30"/>
          <w:highlight w:val="none"/>
        </w:rPr>
        <w:t xml:space="preserve"> </w:t>
      </w:r>
      <w:r>
        <w:rPr>
          <w:rFonts w:hint="eastAsia" w:ascii="宋体" w:hAnsi="宋体" w:eastAsia="黑体" w:cs="黑体"/>
          <w:b/>
          <w:bCs/>
          <w:color w:val="auto"/>
          <w:spacing w:val="6"/>
          <w:kern w:val="2"/>
          <w:sz w:val="30"/>
          <w:szCs w:val="30"/>
          <w:highlight w:val="none"/>
          <w:lang w:val="en-US" w:eastAsia="zh-CN"/>
        </w:rPr>
        <w:t xml:space="preserve"> </w:t>
      </w:r>
      <w:r>
        <w:rPr>
          <w:rFonts w:hint="eastAsia" w:ascii="宋体" w:hAnsi="宋体" w:eastAsia="仿宋_GB2312" w:cs="仿宋_GB2312"/>
          <w:color w:val="auto"/>
          <w:spacing w:val="6"/>
          <w:kern w:val="2"/>
          <w:sz w:val="30"/>
          <w:szCs w:val="30"/>
          <w:highlight w:val="none"/>
        </w:rPr>
        <w:t>各级财政、生态环境部门及其工作人员存在违反本办法行为的，以及其他滥用职权、玩忽职守、徇私舞弊等违法违纪行为的，按照《中华人民共和国预算法》及其实施条例、《中华人民共和国监察法》、《财政违法行为处罚处分条例》等有关规定追究相应责任。构成犯罪的，依法追究刑事责任。</w:t>
      </w:r>
    </w:p>
    <w:p w14:paraId="669F84A8">
      <w:pPr>
        <w:keepNext w:val="0"/>
        <w:keepLines w:val="0"/>
        <w:pageBreakBefore w:val="0"/>
        <w:widowControl w:val="0"/>
        <w:pBdr>
          <w:top w:val="none" w:color="auto" w:sz="0" w:space="0"/>
          <w:bottom w:val="none" w:color="auto" w:sz="0" w:space="0"/>
        </w:pBdr>
        <w:kinsoku/>
        <w:wordWrap/>
        <w:overflowPunct w:val="0"/>
        <w:topLinePunct w:val="0"/>
        <w:autoSpaceDE/>
        <w:autoSpaceDN/>
        <w:bidi w:val="0"/>
        <w:adjustRightInd/>
        <w:snapToGrid/>
        <w:spacing w:after="0" w:line="579" w:lineRule="exact"/>
        <w:jc w:val="center"/>
        <w:textAlignment w:val="auto"/>
        <w:rPr>
          <w:rFonts w:hint="eastAsia" w:ascii="宋体" w:hAnsi="宋体" w:eastAsia="方正小标宋简体" w:cs="方正小标宋简体"/>
          <w:color w:val="auto"/>
          <w:spacing w:val="6"/>
          <w:sz w:val="30"/>
          <w:szCs w:val="30"/>
          <w:highlight w:val="none"/>
          <w:lang w:val="en-US" w:eastAsia="zh-CN"/>
        </w:rPr>
      </w:pPr>
    </w:p>
    <w:p w14:paraId="7B59EF18">
      <w:pPr>
        <w:keepNext w:val="0"/>
        <w:keepLines w:val="0"/>
        <w:pageBreakBefore w:val="0"/>
        <w:widowControl w:val="0"/>
        <w:pBdr>
          <w:top w:val="none" w:color="auto" w:sz="0" w:space="0"/>
          <w:bottom w:val="none" w:color="auto" w:sz="0" w:space="0"/>
        </w:pBdr>
        <w:kinsoku/>
        <w:wordWrap/>
        <w:overflowPunct w:val="0"/>
        <w:topLinePunct w:val="0"/>
        <w:autoSpaceDE/>
        <w:autoSpaceDN/>
        <w:bidi w:val="0"/>
        <w:adjustRightInd/>
        <w:snapToGrid/>
        <w:spacing w:after="0" w:line="579" w:lineRule="exact"/>
        <w:ind w:left="0"/>
        <w:jc w:val="center"/>
        <w:textAlignment w:val="auto"/>
        <w:rPr>
          <w:rFonts w:hint="eastAsia" w:ascii="宋体" w:hAnsi="宋体" w:eastAsia="方正小标宋简体" w:cs="方正小标宋简体"/>
          <w:color w:val="auto"/>
          <w:spacing w:val="6"/>
          <w:sz w:val="30"/>
          <w:szCs w:val="30"/>
          <w:highlight w:val="none"/>
        </w:rPr>
      </w:pPr>
      <w:r>
        <w:rPr>
          <w:rFonts w:hint="eastAsia" w:ascii="宋体" w:hAnsi="宋体" w:eastAsia="方正小标宋简体" w:cs="方正小标宋简体"/>
          <w:color w:val="auto"/>
          <w:spacing w:val="6"/>
          <w:sz w:val="30"/>
          <w:szCs w:val="30"/>
          <w:highlight w:val="none"/>
        </w:rPr>
        <w:t>第</w:t>
      </w:r>
      <w:r>
        <w:rPr>
          <w:rFonts w:hint="eastAsia" w:ascii="宋体" w:hAnsi="宋体" w:eastAsia="方正小标宋简体" w:cs="方正小标宋简体"/>
          <w:color w:val="auto"/>
          <w:spacing w:val="6"/>
          <w:sz w:val="30"/>
          <w:szCs w:val="30"/>
          <w:highlight w:val="none"/>
          <w:lang w:val="en-US" w:eastAsia="zh-CN"/>
        </w:rPr>
        <w:t>八</w:t>
      </w:r>
      <w:r>
        <w:rPr>
          <w:rFonts w:hint="eastAsia" w:ascii="宋体" w:hAnsi="宋体" w:eastAsia="方正小标宋简体" w:cs="方正小标宋简体"/>
          <w:color w:val="auto"/>
          <w:spacing w:val="6"/>
          <w:sz w:val="30"/>
          <w:szCs w:val="30"/>
          <w:highlight w:val="none"/>
        </w:rPr>
        <w:t xml:space="preserve">章 </w:t>
      </w:r>
      <w:r>
        <w:rPr>
          <w:rFonts w:hint="eastAsia" w:ascii="宋体" w:hAnsi="宋体" w:eastAsia="方正小标宋简体" w:cs="方正小标宋简体"/>
          <w:color w:val="auto"/>
          <w:spacing w:val="6"/>
          <w:sz w:val="30"/>
          <w:szCs w:val="30"/>
          <w:highlight w:val="none"/>
          <w:lang w:val="en-US" w:eastAsia="zh-CN"/>
        </w:rPr>
        <w:t xml:space="preserve"> </w:t>
      </w:r>
      <w:r>
        <w:rPr>
          <w:rFonts w:hint="eastAsia" w:ascii="宋体" w:hAnsi="宋体" w:eastAsia="方正小标宋简体" w:cs="方正小标宋简体"/>
          <w:color w:val="auto"/>
          <w:spacing w:val="6"/>
          <w:sz w:val="30"/>
          <w:szCs w:val="30"/>
          <w:highlight w:val="none"/>
        </w:rPr>
        <w:t>附</w:t>
      </w:r>
      <w:r>
        <w:rPr>
          <w:rFonts w:hint="eastAsia" w:ascii="宋体" w:hAnsi="宋体" w:eastAsia="方正小标宋简体" w:cs="方正小标宋简体"/>
          <w:color w:val="auto"/>
          <w:spacing w:val="6"/>
          <w:sz w:val="30"/>
          <w:szCs w:val="30"/>
          <w:highlight w:val="none"/>
          <w:lang w:val="en-US" w:eastAsia="zh-CN"/>
        </w:rPr>
        <w:t xml:space="preserve">    </w:t>
      </w:r>
      <w:r>
        <w:rPr>
          <w:rFonts w:hint="eastAsia" w:ascii="宋体" w:hAnsi="宋体" w:eastAsia="方正小标宋简体" w:cs="方正小标宋简体"/>
          <w:color w:val="auto"/>
          <w:spacing w:val="6"/>
          <w:sz w:val="30"/>
          <w:szCs w:val="30"/>
          <w:highlight w:val="none"/>
        </w:rPr>
        <w:t>则</w:t>
      </w:r>
    </w:p>
    <w:p w14:paraId="1FC1DE7F">
      <w:pPr>
        <w:keepNext w:val="0"/>
        <w:keepLines w:val="0"/>
        <w:pageBreakBefore w:val="0"/>
        <w:widowControl w:val="0"/>
        <w:pBdr>
          <w:top w:val="none" w:color="auto" w:sz="0" w:space="0"/>
          <w:bottom w:val="none" w:color="auto" w:sz="0" w:space="0"/>
        </w:pBdr>
        <w:kinsoku/>
        <w:wordWrap/>
        <w:overflowPunct w:val="0"/>
        <w:topLinePunct w:val="0"/>
        <w:autoSpaceDE/>
        <w:autoSpaceDN/>
        <w:bidi w:val="0"/>
        <w:adjustRightInd/>
        <w:snapToGrid/>
        <w:spacing w:after="0" w:line="579" w:lineRule="exact"/>
        <w:jc w:val="center"/>
        <w:textAlignment w:val="auto"/>
        <w:rPr>
          <w:rFonts w:hint="eastAsia" w:ascii="宋体" w:hAnsi="宋体" w:eastAsia="方正小标宋简体" w:cs="方正小标宋简体"/>
          <w:color w:val="auto"/>
          <w:spacing w:val="6"/>
          <w:sz w:val="30"/>
          <w:szCs w:val="30"/>
          <w:highlight w:val="none"/>
        </w:rPr>
      </w:pPr>
    </w:p>
    <w:p w14:paraId="62595435">
      <w:pPr>
        <w:keepNext w:val="0"/>
        <w:keepLines w:val="0"/>
        <w:pageBreakBefore w:val="0"/>
        <w:widowControl w:val="0"/>
        <w:pBdr>
          <w:top w:val="none" w:color="auto" w:sz="0" w:space="0"/>
          <w:bottom w:val="none" w:color="auto" w:sz="0" w:space="0"/>
        </w:pBdr>
        <w:kinsoku/>
        <w:wordWrap/>
        <w:overflowPunct w:val="0"/>
        <w:topLinePunct w:val="0"/>
        <w:autoSpaceDE/>
        <w:autoSpaceDN/>
        <w:bidi w:val="0"/>
        <w:adjustRightInd/>
        <w:snapToGrid/>
        <w:spacing w:after="0" w:line="579" w:lineRule="exact"/>
        <w:ind w:left="0" w:firstLine="624" w:firstLineChars="200"/>
        <w:jc w:val="both"/>
        <w:textAlignment w:val="auto"/>
        <w:rPr>
          <w:rFonts w:hint="eastAsia" w:ascii="宋体" w:hAnsi="宋体" w:eastAsia="仿宋_GB2312" w:cs="仿宋_GB2312"/>
          <w:color w:val="auto"/>
          <w:spacing w:val="6"/>
          <w:kern w:val="2"/>
          <w:sz w:val="30"/>
          <w:szCs w:val="30"/>
          <w:highlight w:val="none"/>
          <w:lang w:val="en-US" w:eastAsia="zh-CN" w:bidi="ar-SA"/>
        </w:rPr>
      </w:pPr>
      <w:r>
        <w:rPr>
          <w:rFonts w:hint="eastAsia" w:ascii="宋体" w:hAnsi="宋体" w:eastAsia="黑体" w:cs="黑体"/>
          <w:color w:val="auto"/>
          <w:spacing w:val="6"/>
          <w:sz w:val="30"/>
          <w:szCs w:val="30"/>
          <w:highlight w:val="none"/>
        </w:rPr>
        <w:t>第</w:t>
      </w:r>
      <w:r>
        <w:rPr>
          <w:rFonts w:hint="eastAsia" w:ascii="宋体" w:hAnsi="宋体" w:eastAsia="黑体" w:cs="黑体"/>
          <w:color w:val="auto"/>
          <w:spacing w:val="6"/>
          <w:sz w:val="30"/>
          <w:szCs w:val="30"/>
          <w:highlight w:val="none"/>
          <w:lang w:val="en-US" w:eastAsia="zh-CN"/>
        </w:rPr>
        <w:t>二十七</w:t>
      </w:r>
      <w:r>
        <w:rPr>
          <w:rFonts w:hint="eastAsia" w:ascii="宋体" w:hAnsi="宋体" w:eastAsia="黑体" w:cs="黑体"/>
          <w:color w:val="auto"/>
          <w:spacing w:val="6"/>
          <w:sz w:val="30"/>
          <w:szCs w:val="30"/>
          <w:highlight w:val="none"/>
        </w:rPr>
        <w:t>条</w:t>
      </w:r>
      <w:r>
        <w:rPr>
          <w:rFonts w:hint="eastAsia" w:ascii="宋体" w:hAnsi="宋体" w:eastAsia="黑体" w:cs="黑体"/>
          <w:color w:val="auto"/>
          <w:spacing w:val="6"/>
          <w:sz w:val="30"/>
          <w:szCs w:val="30"/>
          <w:highlight w:val="none"/>
          <w:lang w:val="en-US" w:eastAsia="zh-CN"/>
        </w:rPr>
        <w:t xml:space="preserve"> </w:t>
      </w:r>
      <w:r>
        <w:rPr>
          <w:rFonts w:hint="eastAsia" w:ascii="宋体" w:hAnsi="宋体" w:eastAsia="黑体" w:cs="黑体"/>
          <w:color w:val="auto"/>
          <w:spacing w:val="6"/>
          <w:sz w:val="30"/>
          <w:szCs w:val="30"/>
          <w:highlight w:val="none"/>
        </w:rPr>
        <w:t xml:space="preserve"> </w:t>
      </w:r>
      <w:r>
        <w:rPr>
          <w:rFonts w:hint="eastAsia" w:ascii="宋体" w:hAnsi="宋体" w:eastAsia="仿宋_GB2312" w:cs="仿宋_GB2312"/>
          <w:color w:val="auto"/>
          <w:spacing w:val="6"/>
          <w:kern w:val="2"/>
          <w:sz w:val="30"/>
          <w:szCs w:val="30"/>
          <w:highlight w:val="none"/>
          <w:lang w:val="en-US" w:eastAsia="zh-CN" w:bidi="ar-SA"/>
        </w:rPr>
        <w:t>本办法未尽事宜遵照国家和云南省相关管理办法和规定执行。</w:t>
      </w:r>
    </w:p>
    <w:p w14:paraId="55837C22">
      <w:pPr>
        <w:keepNext w:val="0"/>
        <w:keepLines w:val="0"/>
        <w:pageBreakBefore w:val="0"/>
        <w:widowControl w:val="0"/>
        <w:pBdr>
          <w:top w:val="none" w:color="auto" w:sz="0" w:space="0"/>
          <w:bottom w:val="none" w:color="auto" w:sz="0" w:space="0"/>
        </w:pBdr>
        <w:kinsoku/>
        <w:wordWrap/>
        <w:overflowPunct w:val="0"/>
        <w:topLinePunct w:val="0"/>
        <w:autoSpaceDE/>
        <w:autoSpaceDN/>
        <w:bidi w:val="0"/>
        <w:adjustRightInd/>
        <w:snapToGrid/>
        <w:spacing w:after="0" w:line="579" w:lineRule="exact"/>
        <w:ind w:left="0" w:firstLine="624" w:firstLineChars="200"/>
        <w:jc w:val="both"/>
        <w:textAlignment w:val="auto"/>
        <w:rPr>
          <w:rFonts w:hint="eastAsia" w:ascii="宋体" w:hAnsi="宋体" w:eastAsia="仿宋_GB2312" w:cs="仿宋_GB2312"/>
          <w:color w:val="auto"/>
          <w:spacing w:val="6"/>
          <w:sz w:val="30"/>
          <w:szCs w:val="30"/>
          <w:highlight w:val="none"/>
          <w:lang w:eastAsia="zh-CN"/>
        </w:rPr>
      </w:pPr>
      <w:r>
        <w:rPr>
          <w:rFonts w:hint="eastAsia" w:ascii="宋体" w:hAnsi="宋体" w:eastAsia="黑体" w:cs="黑体"/>
          <w:color w:val="auto"/>
          <w:spacing w:val="6"/>
          <w:sz w:val="30"/>
          <w:szCs w:val="30"/>
          <w:highlight w:val="none"/>
        </w:rPr>
        <w:t>第</w:t>
      </w:r>
      <w:r>
        <w:rPr>
          <w:rFonts w:hint="eastAsia" w:ascii="宋体" w:hAnsi="宋体" w:eastAsia="黑体" w:cs="黑体"/>
          <w:color w:val="auto"/>
          <w:spacing w:val="6"/>
          <w:sz w:val="30"/>
          <w:szCs w:val="30"/>
          <w:highlight w:val="none"/>
          <w:lang w:val="en-US" w:eastAsia="zh-CN"/>
        </w:rPr>
        <w:t>二十八</w:t>
      </w:r>
      <w:r>
        <w:rPr>
          <w:rFonts w:hint="eastAsia" w:ascii="宋体" w:hAnsi="宋体" w:eastAsia="黑体" w:cs="黑体"/>
          <w:color w:val="auto"/>
          <w:spacing w:val="6"/>
          <w:sz w:val="30"/>
          <w:szCs w:val="30"/>
          <w:highlight w:val="none"/>
        </w:rPr>
        <w:t xml:space="preserve">条 </w:t>
      </w:r>
      <w:r>
        <w:rPr>
          <w:rFonts w:hint="eastAsia" w:ascii="宋体" w:hAnsi="宋体" w:eastAsia="黑体" w:cs="黑体"/>
          <w:color w:val="auto"/>
          <w:spacing w:val="6"/>
          <w:sz w:val="30"/>
          <w:szCs w:val="30"/>
          <w:highlight w:val="none"/>
          <w:lang w:val="en-US" w:eastAsia="zh-CN"/>
        </w:rPr>
        <w:t xml:space="preserve"> </w:t>
      </w:r>
      <w:r>
        <w:rPr>
          <w:rFonts w:hint="eastAsia" w:ascii="宋体" w:hAnsi="宋体" w:eastAsia="仿宋_GB2312" w:cs="仿宋_GB2312"/>
          <w:color w:val="auto"/>
          <w:spacing w:val="6"/>
          <w:sz w:val="30"/>
          <w:szCs w:val="30"/>
          <w:highlight w:val="none"/>
          <w:lang w:val="en-US" w:eastAsia="zh-CN"/>
        </w:rPr>
        <w:t>本办法由</w:t>
      </w:r>
      <w:r>
        <w:rPr>
          <w:rFonts w:hint="eastAsia" w:ascii="宋体" w:hAnsi="宋体" w:eastAsia="仿宋_GB2312" w:cs="仿宋_GB2312"/>
          <w:color w:val="auto"/>
          <w:spacing w:val="6"/>
          <w:sz w:val="30"/>
          <w:szCs w:val="30"/>
          <w:highlight w:val="none"/>
        </w:rPr>
        <w:t>省财政厅、省生态环境厅负责解释</w:t>
      </w:r>
      <w:r>
        <w:rPr>
          <w:rFonts w:hint="eastAsia" w:ascii="宋体" w:hAnsi="宋体" w:eastAsia="仿宋_GB2312" w:cs="仿宋_GB2312"/>
          <w:color w:val="auto"/>
          <w:spacing w:val="6"/>
          <w:sz w:val="30"/>
          <w:szCs w:val="30"/>
          <w:highlight w:val="none"/>
          <w:lang w:eastAsia="zh-CN"/>
        </w:rPr>
        <w:t>，</w:t>
      </w:r>
      <w:r>
        <w:rPr>
          <w:rFonts w:hint="eastAsia" w:ascii="宋体" w:hAnsi="宋体" w:eastAsia="仿宋_GB2312" w:cs="仿宋_GB2312"/>
          <w:color w:val="auto"/>
          <w:spacing w:val="6"/>
          <w:sz w:val="30"/>
          <w:szCs w:val="30"/>
          <w:highlight w:val="none"/>
          <w:lang w:val="en-US" w:eastAsia="zh-CN"/>
        </w:rPr>
        <w:t>自2026年1月31日起施行，有效期至2029年1月30日。</w:t>
      </w:r>
    </w:p>
    <w:p w14:paraId="5ACA902F">
      <w:pPr>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ind w:firstLine="0" w:firstLineChars="0"/>
        <w:jc w:val="both"/>
        <w:textAlignment w:val="auto"/>
        <w:rPr>
          <w:rFonts w:hint="default" w:ascii="宋体" w:hAnsi="宋体" w:eastAsia="仿宋_GB2312" w:cs="仿宋_GB2312"/>
          <w:sz w:val="30"/>
          <w:szCs w:val="30"/>
          <w:highlight w:val="none"/>
          <w:lang w:val="en-US" w:eastAsia="zh-CN"/>
        </w:rPr>
      </w:pPr>
    </w:p>
    <w:p w14:paraId="323B641C">
      <w:pPr>
        <w:pStyle w:val="2"/>
        <w:keepNext w:val="0"/>
        <w:keepLines w:val="0"/>
        <w:pageBreakBefore w:val="0"/>
        <w:widowControl w:val="0"/>
        <w:pBdr>
          <w:top w:val="none" w:color="auto" w:sz="0" w:space="0"/>
          <w:bottom w:val="none" w:color="auto" w:sz="0" w:space="0"/>
        </w:pBdr>
        <w:kinsoku/>
        <w:wordWrap/>
        <w:overflowPunct/>
        <w:topLinePunct w:val="0"/>
        <w:autoSpaceDE/>
        <w:autoSpaceDN/>
        <w:bidi w:val="0"/>
        <w:adjustRightInd w:val="0"/>
        <w:spacing w:after="0" w:line="560" w:lineRule="exact"/>
        <w:ind w:firstLine="656" w:firstLineChars="200"/>
        <w:textAlignment w:val="auto"/>
        <w:rPr>
          <w:rFonts w:hint="eastAsia" w:ascii="宋体" w:hAnsi="宋体" w:eastAsia="仿宋_GB2312"/>
          <w:spacing w:val="14"/>
          <w:sz w:val="30"/>
          <w:szCs w:val="30"/>
          <w:lang w:eastAsia="zh-CN"/>
        </w:rPr>
      </w:pPr>
    </w:p>
    <w:p w14:paraId="41129113">
      <w:pPr>
        <w:pStyle w:val="2"/>
        <w:keepNext w:val="0"/>
        <w:keepLines w:val="0"/>
        <w:pageBreakBefore w:val="0"/>
        <w:widowControl w:val="0"/>
        <w:pBdr>
          <w:top w:val="none" w:color="auto" w:sz="0" w:space="0"/>
          <w:bottom w:val="none" w:color="auto" w:sz="0" w:space="0"/>
        </w:pBdr>
        <w:kinsoku/>
        <w:wordWrap/>
        <w:overflowPunct/>
        <w:topLinePunct w:val="0"/>
        <w:autoSpaceDE/>
        <w:autoSpaceDN/>
        <w:bidi w:val="0"/>
        <w:adjustRightInd w:val="0"/>
        <w:spacing w:after="0" w:line="560" w:lineRule="exact"/>
        <w:ind w:firstLine="656" w:firstLineChars="200"/>
        <w:textAlignment w:val="auto"/>
        <w:rPr>
          <w:rFonts w:ascii="宋体" w:hAnsi="宋体"/>
          <w:spacing w:val="14"/>
          <w:sz w:val="30"/>
          <w:szCs w:val="30"/>
        </w:rPr>
      </w:pPr>
      <w:bookmarkStart w:id="10" w:name="正文结束"/>
      <w:bookmarkEnd w:id="10"/>
    </w:p>
    <w:p w14:paraId="111A7C94">
      <w:pPr>
        <w:keepNext w:val="0"/>
        <w:keepLines w:val="0"/>
        <w:pageBreakBefore w:val="0"/>
        <w:widowControl w:val="0"/>
        <w:pBdr>
          <w:top w:val="none" w:color="auto" w:sz="0" w:space="0"/>
          <w:bottom w:val="none" w:color="auto" w:sz="0" w:space="0"/>
        </w:pBdr>
        <w:kinsoku/>
        <w:wordWrap/>
        <w:overflowPunct/>
        <w:topLinePunct w:val="0"/>
        <w:autoSpaceDE/>
        <w:autoSpaceDN/>
        <w:bidi w:val="0"/>
        <w:spacing w:after="0"/>
        <w:textAlignment w:val="auto"/>
        <w:rPr>
          <w:rFonts w:hint="eastAsia" w:ascii="宋体" w:hAnsi="宋体"/>
          <w:vanish/>
        </w:rPr>
      </w:pPr>
    </w:p>
    <w:p w14:paraId="23FBC369">
      <w:pPr>
        <w:keepNext w:val="0"/>
        <w:keepLines w:val="0"/>
        <w:pageBreakBefore w:val="0"/>
        <w:widowControl w:val="0"/>
        <w:pBdr>
          <w:top w:val="none" w:color="auto" w:sz="0" w:space="0"/>
          <w:bottom w:val="none" w:color="auto" w:sz="0" w:space="0"/>
        </w:pBdr>
        <w:kinsoku/>
        <w:wordWrap/>
        <w:overflowPunct/>
        <w:topLinePunct w:val="0"/>
        <w:autoSpaceDE/>
        <w:autoSpaceDN/>
        <w:bidi w:val="0"/>
        <w:spacing w:after="0"/>
        <w:textAlignment w:val="auto"/>
        <w:rPr>
          <w:rFonts w:ascii="宋体" w:hAnsi="宋体"/>
        </w:rPr>
      </w:pPr>
    </w:p>
    <w:p w14:paraId="38C1EC89">
      <w:pPr>
        <w:keepNext w:val="0"/>
        <w:keepLines w:val="0"/>
        <w:pageBreakBefore w:val="0"/>
        <w:widowControl w:val="0"/>
        <w:pBdr>
          <w:top w:val="none" w:color="auto" w:sz="0" w:space="0"/>
          <w:bottom w:val="none" w:color="auto" w:sz="0" w:space="0"/>
        </w:pBdr>
        <w:kinsoku/>
        <w:wordWrap/>
        <w:overflowPunct/>
        <w:topLinePunct w:val="0"/>
        <w:autoSpaceDE/>
        <w:autoSpaceDN/>
        <w:bidi w:val="0"/>
        <w:spacing w:after="0"/>
        <w:textAlignment w:val="auto"/>
        <w:rPr>
          <w:rFonts w:ascii="宋体" w:hAnsi="宋体"/>
        </w:rPr>
      </w:pPr>
    </w:p>
    <w:p w14:paraId="12D5560B">
      <w:pPr>
        <w:bidi w:val="0"/>
        <w:rPr>
          <w:rFonts w:ascii="宋体" w:hAnsi="宋体" w:eastAsia="宋体" w:cs="Times New Roman"/>
          <w:kern w:val="2"/>
          <w:sz w:val="21"/>
          <w:szCs w:val="22"/>
          <w:lang w:val="en-US" w:eastAsia="zh-CN" w:bidi="ar-SA"/>
        </w:rPr>
      </w:pPr>
    </w:p>
    <w:p w14:paraId="7AAF2878">
      <w:pPr>
        <w:bidi w:val="0"/>
        <w:rPr>
          <w:rFonts w:ascii="宋体" w:hAnsi="宋体"/>
          <w:lang w:val="en-US" w:eastAsia="zh-CN"/>
        </w:rPr>
      </w:pPr>
    </w:p>
    <w:p w14:paraId="755641B6">
      <w:pPr>
        <w:bidi w:val="0"/>
        <w:rPr>
          <w:rFonts w:ascii="宋体" w:hAnsi="宋体"/>
          <w:lang w:val="en-US" w:eastAsia="zh-CN"/>
        </w:rPr>
      </w:pPr>
    </w:p>
    <w:p w14:paraId="734AE389">
      <w:pPr>
        <w:bidi w:val="0"/>
        <w:jc w:val="left"/>
        <w:rPr>
          <w:rFonts w:ascii="宋体" w:hAnsi="宋体"/>
          <w:lang w:val="en-US" w:eastAsia="zh-CN"/>
        </w:rPr>
      </w:pPr>
    </w:p>
    <w:p w14:paraId="6F484A59">
      <w:pPr>
        <w:pStyle w:val="2"/>
        <w:rPr>
          <w:rFonts w:ascii="宋体" w:hAnsi="宋体"/>
          <w:lang w:val="en-US" w:eastAsia="zh-CN"/>
        </w:rPr>
      </w:pPr>
    </w:p>
    <w:p w14:paraId="20EEABEF">
      <w:pPr>
        <w:rPr>
          <w:rFonts w:ascii="宋体" w:hAnsi="宋体"/>
          <w:lang w:val="en-US" w:eastAsia="zh-CN"/>
        </w:rPr>
        <w:sectPr>
          <w:type w:val="continuous"/>
          <w:pgSz w:w="11906" w:h="16838"/>
          <w:pgMar w:top="2098" w:right="1474" w:bottom="1984" w:left="1587" w:header="851" w:footer="1247" w:gutter="0"/>
          <w:pgBorders>
            <w:top w:val="none" w:sz="0" w:space="0"/>
            <w:left w:val="none" w:sz="0" w:space="0"/>
            <w:bottom w:val="none" w:sz="0" w:space="0"/>
            <w:right w:val="none" w:sz="0" w:space="0"/>
          </w:pgBorders>
          <w:cols w:space="720" w:num="1"/>
          <w:formProt w:val="0"/>
          <w:docGrid w:type="lines" w:linePitch="573" w:charSpace="0"/>
        </w:sectPr>
      </w:pPr>
    </w:p>
    <w:p w14:paraId="14992007">
      <w:pPr>
        <w:pStyle w:val="2"/>
        <w:rPr>
          <w:rFonts w:ascii="宋体" w:hAnsi="宋体"/>
          <w:lang w:val="en-US" w:eastAsia="zh-CN"/>
        </w:rPr>
      </w:pPr>
    </w:p>
    <w:p w14:paraId="6E6BE19F">
      <w:pPr>
        <w:pStyle w:val="2"/>
        <w:rPr>
          <w:rFonts w:ascii="宋体" w:hAnsi="宋体"/>
          <w:lang w:val="en-US" w:eastAsia="zh-CN"/>
        </w:rPr>
      </w:pPr>
    </w:p>
    <w:p w14:paraId="1B4B80C8">
      <w:pPr>
        <w:rPr>
          <w:rFonts w:ascii="宋体" w:hAnsi="宋体"/>
          <w:lang w:val="en-US" w:eastAsia="zh-CN"/>
        </w:rPr>
      </w:pPr>
    </w:p>
    <w:p w14:paraId="4B537470">
      <w:pPr>
        <w:pStyle w:val="2"/>
        <w:rPr>
          <w:rFonts w:ascii="宋体" w:hAnsi="宋体"/>
          <w:lang w:val="en-US" w:eastAsia="zh-CN"/>
        </w:rPr>
      </w:pPr>
    </w:p>
    <w:p w14:paraId="0583A8AA">
      <w:pPr>
        <w:rPr>
          <w:rFonts w:ascii="宋体" w:hAnsi="宋体"/>
          <w:lang w:val="en-US" w:eastAsia="zh-CN"/>
        </w:rPr>
      </w:pPr>
    </w:p>
    <w:p w14:paraId="63123F15">
      <w:pPr>
        <w:pStyle w:val="2"/>
        <w:rPr>
          <w:rFonts w:ascii="宋体" w:hAnsi="宋体"/>
          <w:lang w:val="en-US" w:eastAsia="zh-CN"/>
        </w:rPr>
      </w:pPr>
    </w:p>
    <w:p w14:paraId="644418CE">
      <w:pPr>
        <w:rPr>
          <w:rFonts w:ascii="宋体" w:hAnsi="宋体"/>
          <w:lang w:val="en-US" w:eastAsia="zh-CN"/>
        </w:rPr>
      </w:pPr>
    </w:p>
    <w:p w14:paraId="48730729">
      <w:pPr>
        <w:pStyle w:val="2"/>
        <w:rPr>
          <w:rFonts w:ascii="宋体" w:hAnsi="宋体"/>
          <w:lang w:val="en-US" w:eastAsia="zh-CN"/>
        </w:rPr>
      </w:pPr>
    </w:p>
    <w:p w14:paraId="5DD1705D">
      <w:pPr>
        <w:rPr>
          <w:rFonts w:ascii="宋体" w:hAnsi="宋体"/>
          <w:lang w:val="en-US" w:eastAsia="zh-CN"/>
        </w:rPr>
      </w:pPr>
    </w:p>
    <w:p w14:paraId="7A81DC1E">
      <w:pPr>
        <w:pStyle w:val="2"/>
        <w:rPr>
          <w:rFonts w:ascii="宋体" w:hAnsi="宋体"/>
          <w:lang w:val="en-US" w:eastAsia="zh-CN"/>
        </w:rPr>
      </w:pPr>
    </w:p>
    <w:p w14:paraId="4891960E">
      <w:pPr>
        <w:rPr>
          <w:rFonts w:ascii="宋体" w:hAnsi="宋体"/>
          <w:lang w:val="en-US" w:eastAsia="zh-CN"/>
        </w:rPr>
      </w:pPr>
    </w:p>
    <w:p w14:paraId="573D1E80">
      <w:pPr>
        <w:pStyle w:val="2"/>
        <w:rPr>
          <w:rFonts w:ascii="宋体" w:hAnsi="宋体"/>
          <w:lang w:val="en-US" w:eastAsia="zh-CN"/>
        </w:rPr>
      </w:pPr>
    </w:p>
    <w:p w14:paraId="2F774D8D">
      <w:pPr>
        <w:rPr>
          <w:rFonts w:ascii="宋体" w:hAnsi="宋体"/>
          <w:lang w:val="en-US" w:eastAsia="zh-CN"/>
        </w:rPr>
      </w:pPr>
    </w:p>
    <w:p w14:paraId="529D8D13">
      <w:pPr>
        <w:pStyle w:val="2"/>
        <w:rPr>
          <w:rFonts w:ascii="宋体" w:hAnsi="宋体"/>
          <w:lang w:val="en-US" w:eastAsia="zh-CN"/>
        </w:rPr>
      </w:pPr>
    </w:p>
    <w:p w14:paraId="101A1595">
      <w:pPr>
        <w:rPr>
          <w:rFonts w:ascii="宋体" w:hAnsi="宋体"/>
          <w:lang w:val="en-US" w:eastAsia="zh-CN"/>
        </w:rPr>
      </w:pPr>
    </w:p>
    <w:p w14:paraId="0E52F0A7">
      <w:pPr>
        <w:pStyle w:val="2"/>
        <w:rPr>
          <w:rFonts w:ascii="宋体" w:hAnsi="宋体"/>
          <w:lang w:val="en-US" w:eastAsia="zh-CN"/>
        </w:rPr>
      </w:pPr>
    </w:p>
    <w:p w14:paraId="1477448A">
      <w:pPr>
        <w:rPr>
          <w:rFonts w:ascii="宋体" w:hAnsi="宋体"/>
          <w:lang w:val="en-US" w:eastAsia="zh-CN"/>
        </w:rPr>
      </w:pPr>
    </w:p>
    <w:tbl>
      <w:tblPr>
        <w:tblStyle w:val="6"/>
        <w:tblpPr w:vertAnchor="page" w:horzAnchor="page" w:tblpX="1586" w:tblpY="12960"/>
        <w:tblW w:w="8847" w:type="dxa"/>
        <w:jc w:val="center"/>
        <w:tblBorders>
          <w:top w:val="single" w:color="auto" w:sz="6" w:space="0"/>
          <w:left w:val="none" w:color="auto" w:sz="0" w:space="0"/>
          <w:bottom w:val="single" w:color="auto" w:sz="6" w:space="0"/>
          <w:right w:val="none" w:color="auto" w:sz="0" w:space="0"/>
          <w:insideH w:val="single" w:color="7F7F7F" w:themeColor="text1" w:themeTint="7F" w:sz="6" w:space="0"/>
          <w:insideV w:val="none" w:color="auto" w:sz="0" w:space="0"/>
        </w:tblBorders>
        <w:tblLayout w:type="fixed"/>
        <w:tblCellMar>
          <w:top w:w="0" w:type="dxa"/>
          <w:left w:w="0" w:type="dxa"/>
          <w:bottom w:w="0" w:type="dxa"/>
          <w:right w:w="0" w:type="dxa"/>
        </w:tblCellMar>
      </w:tblPr>
      <w:tblGrid>
        <w:gridCol w:w="1008"/>
        <w:gridCol w:w="4424"/>
        <w:gridCol w:w="3415"/>
      </w:tblGrid>
      <w:tr w14:paraId="028DA46B">
        <w:tblPrEx>
          <w:tblBorders>
            <w:top w:val="single" w:color="auto" w:sz="6" w:space="0"/>
            <w:left w:val="none" w:color="auto" w:sz="0" w:space="0"/>
            <w:bottom w:val="single" w:color="auto" w:sz="6" w:space="0"/>
            <w:right w:val="none" w:color="auto" w:sz="0" w:space="0"/>
            <w:insideH w:val="single" w:color="7F7F7F" w:themeColor="text1" w:themeTint="7F" w:sz="6" w:space="0"/>
            <w:insideV w:val="none" w:color="auto" w:sz="0" w:space="0"/>
          </w:tblBorders>
          <w:tblCellMar>
            <w:top w:w="0" w:type="dxa"/>
            <w:left w:w="0" w:type="dxa"/>
            <w:bottom w:w="0" w:type="dxa"/>
            <w:right w:w="0" w:type="dxa"/>
          </w:tblCellMar>
        </w:tblPrEx>
        <w:trPr>
          <w:cantSplit/>
          <w:jc w:val="center"/>
        </w:trPr>
        <w:tc>
          <w:tcPr>
            <w:tcW w:w="1008" w:type="dxa"/>
            <w:tcBorders>
              <w:tl2br w:val="nil"/>
              <w:tr2bl w:val="nil"/>
            </w:tcBorders>
            <w:noWrap w:val="0"/>
            <w:vAlign w:val="top"/>
          </w:tcPr>
          <w:p w14:paraId="2D223EC1">
            <w:pPr>
              <w:pStyle w:val="11"/>
              <w:keepNext w:val="0"/>
              <w:keepLines w:val="0"/>
              <w:pageBreakBefore w:val="0"/>
              <w:widowControl w:val="0"/>
              <w:pBdr>
                <w:top w:val="none" w:color="auto" w:sz="0" w:space="0"/>
                <w:bottom w:val="none" w:color="auto" w:sz="0" w:space="0"/>
              </w:pBdr>
              <w:kinsoku/>
              <w:wordWrap/>
              <w:overflowPunct/>
              <w:topLinePunct w:val="0"/>
              <w:autoSpaceDE/>
              <w:autoSpaceDN/>
              <w:bidi w:val="0"/>
              <w:spacing w:after="0" w:line="460" w:lineRule="exact"/>
              <w:ind w:firstLine="280" w:firstLineChars="100"/>
              <w:textAlignment w:val="auto"/>
              <w:rPr>
                <w:rFonts w:ascii="宋体" w:hAnsi="宋体"/>
                <w:sz w:val="28"/>
                <w:szCs w:val="28"/>
              </w:rPr>
            </w:pPr>
            <w:r>
              <w:rPr>
                <w:rFonts w:hint="eastAsia" w:ascii="宋体" w:hAnsi="宋体"/>
                <w:sz w:val="28"/>
                <w:szCs w:val="28"/>
              </w:rPr>
              <w:t>抄送：</w:t>
            </w:r>
          </w:p>
        </w:tc>
        <w:tc>
          <w:tcPr>
            <w:tcW w:w="7839" w:type="dxa"/>
            <w:gridSpan w:val="2"/>
            <w:tcBorders>
              <w:tl2br w:val="nil"/>
              <w:tr2bl w:val="nil"/>
            </w:tcBorders>
            <w:noWrap w:val="0"/>
            <w:vAlign w:val="top"/>
          </w:tcPr>
          <w:p w14:paraId="636470D7">
            <w:pPr>
              <w:pStyle w:val="11"/>
              <w:keepNext w:val="0"/>
              <w:keepLines w:val="0"/>
              <w:pageBreakBefore w:val="0"/>
              <w:widowControl w:val="0"/>
              <w:pBdr>
                <w:top w:val="none" w:color="auto" w:sz="0" w:space="0"/>
                <w:bottom w:val="none" w:color="auto" w:sz="0" w:space="0"/>
              </w:pBdr>
              <w:kinsoku/>
              <w:wordWrap/>
              <w:overflowPunct/>
              <w:topLinePunct w:val="0"/>
              <w:autoSpaceDE/>
              <w:autoSpaceDN/>
              <w:bidi w:val="0"/>
              <w:spacing w:after="0" w:line="460" w:lineRule="exact"/>
              <w:ind w:right="210" w:rightChars="100"/>
              <w:textAlignment w:val="auto"/>
              <w:rPr>
                <w:rFonts w:hint="eastAsia" w:ascii="宋体" w:hAnsi="宋体" w:eastAsia="仿宋_GB2312"/>
                <w:sz w:val="28"/>
                <w:szCs w:val="28"/>
                <w:lang w:eastAsia="zh-CN"/>
              </w:rPr>
            </w:pPr>
            <w:r>
              <w:rPr>
                <w:rFonts w:hint="eastAsia" w:ascii="宋体" w:hAnsi="宋体"/>
                <w:sz w:val="28"/>
                <w:szCs w:val="28"/>
                <w:lang w:eastAsia="zh-CN"/>
              </w:rPr>
              <w:t>财政部自然资源和生态环境司，财政部云南监管局，省生态环境厅、省审计厅，厅法规处、预算处、国库处、绩效管理处、财政监督处。</w:t>
            </w:r>
          </w:p>
        </w:tc>
      </w:tr>
      <w:tr w14:paraId="3D66CFA8">
        <w:tblPrEx>
          <w:tblBorders>
            <w:top w:val="single" w:color="auto" w:sz="6" w:space="0"/>
            <w:left w:val="none" w:color="auto" w:sz="0" w:space="0"/>
            <w:bottom w:val="single" w:color="auto" w:sz="6" w:space="0"/>
            <w:right w:val="none" w:color="auto" w:sz="0" w:space="0"/>
            <w:insideH w:val="single" w:color="7F7F7F" w:themeColor="text1" w:themeTint="7F" w:sz="6" w:space="0"/>
            <w:insideV w:val="none" w:color="auto" w:sz="0" w:space="0"/>
          </w:tblBorders>
          <w:tblCellMar>
            <w:top w:w="0" w:type="dxa"/>
            <w:left w:w="0" w:type="dxa"/>
            <w:bottom w:w="0" w:type="dxa"/>
            <w:right w:w="0" w:type="dxa"/>
          </w:tblCellMar>
        </w:tblPrEx>
        <w:trPr>
          <w:cantSplit/>
          <w:jc w:val="center"/>
        </w:trPr>
        <w:tc>
          <w:tcPr>
            <w:tcW w:w="5432" w:type="dxa"/>
            <w:gridSpan w:val="2"/>
            <w:tcBorders>
              <w:tl2br w:val="nil"/>
              <w:tr2bl w:val="nil"/>
            </w:tcBorders>
            <w:noWrap w:val="0"/>
            <w:vAlign w:val="center"/>
          </w:tcPr>
          <w:p w14:paraId="2E656001">
            <w:pPr>
              <w:keepNext w:val="0"/>
              <w:keepLines w:val="0"/>
              <w:pageBreakBefore w:val="0"/>
              <w:widowControl w:val="0"/>
              <w:pBdr>
                <w:top w:val="none" w:color="auto" w:sz="0" w:space="0"/>
                <w:bottom w:val="none" w:color="auto" w:sz="0" w:space="0"/>
              </w:pBdr>
              <w:tabs>
                <w:tab w:val="left" w:pos="5598"/>
              </w:tabs>
              <w:kinsoku/>
              <w:wordWrap/>
              <w:overflowPunct/>
              <w:topLinePunct w:val="0"/>
              <w:autoSpaceDE/>
              <w:autoSpaceDN/>
              <w:bidi w:val="0"/>
              <w:spacing w:after="0" w:line="460" w:lineRule="exact"/>
              <w:ind w:left="294"/>
              <w:textAlignment w:val="auto"/>
              <w:rPr>
                <w:rFonts w:ascii="宋体" w:hAnsi="宋体"/>
                <w:sz w:val="28"/>
                <w:szCs w:val="28"/>
              </w:rPr>
            </w:pPr>
            <w:r>
              <w:rPr>
                <w:rFonts w:hint="eastAsia" w:ascii="宋体" w:hAnsi="宋体" w:eastAsia="仿宋_GB2312" w:cs="仿宋_GB2312"/>
                <w:kern w:val="0"/>
                <w:sz w:val="28"/>
                <w:szCs w:val="28"/>
              </w:rPr>
              <w:t>云南省财政厅办公室</w:t>
            </w:r>
          </w:p>
        </w:tc>
        <w:tc>
          <w:tcPr>
            <w:tcW w:w="3415" w:type="dxa"/>
            <w:tcBorders>
              <w:tl2br w:val="nil"/>
              <w:tr2bl w:val="nil"/>
            </w:tcBorders>
            <w:noWrap w:val="0"/>
            <w:vAlign w:val="center"/>
          </w:tcPr>
          <w:p w14:paraId="6411AB5B">
            <w:pPr>
              <w:keepNext w:val="0"/>
              <w:keepLines w:val="0"/>
              <w:pageBreakBefore w:val="0"/>
              <w:widowControl w:val="0"/>
              <w:pBdr>
                <w:top w:val="none" w:color="auto" w:sz="0" w:space="0"/>
                <w:bottom w:val="none" w:color="auto" w:sz="0" w:space="0"/>
              </w:pBdr>
              <w:tabs>
                <w:tab w:val="left" w:pos="5598"/>
              </w:tabs>
              <w:kinsoku/>
              <w:wordWrap/>
              <w:overflowPunct/>
              <w:topLinePunct w:val="0"/>
              <w:autoSpaceDE/>
              <w:autoSpaceDN/>
              <w:bidi w:val="0"/>
              <w:spacing w:after="0" w:line="460" w:lineRule="exact"/>
              <w:ind w:right="301"/>
              <w:jc w:val="right"/>
              <w:textAlignment w:val="auto"/>
              <w:rPr>
                <w:rFonts w:ascii="宋体" w:hAnsi="宋体"/>
                <w:sz w:val="28"/>
                <w:szCs w:val="28"/>
              </w:rPr>
            </w:pPr>
            <w:r>
              <w:rPr>
                <w:rFonts w:hint="eastAsia" w:ascii="宋体" w:hAnsi="宋体" w:eastAsia="仿宋_GB2312" w:cs="仿宋_GB2312"/>
                <w:sz w:val="28"/>
                <w:szCs w:val="28"/>
                <w:lang w:eastAsia="zh-CN"/>
              </w:rPr>
              <w:t>2025年12月31日</w:t>
            </w:r>
            <w:r>
              <w:rPr>
                <w:rFonts w:hint="eastAsia" w:ascii="宋体" w:hAnsi="宋体" w:eastAsia="仿宋_GB2312" w:cs="仿宋_GB2312"/>
                <w:sz w:val="28"/>
                <w:szCs w:val="28"/>
              </w:rPr>
              <w:t>印发</w:t>
            </w:r>
          </w:p>
        </w:tc>
      </w:tr>
    </w:tbl>
    <w:p w14:paraId="779692EF">
      <w:pPr>
        <w:pStyle w:val="2"/>
        <w:rPr>
          <w:rFonts w:ascii="宋体" w:hAnsi="宋体"/>
          <w:lang w:val="en-US" w:eastAsia="zh-CN"/>
        </w:rPr>
      </w:pPr>
    </w:p>
    <w:sectPr>
      <w:footerReference r:id="rId7" w:type="default"/>
      <w:footerReference r:id="rId8" w:type="even"/>
      <w:pgSz w:w="11906" w:h="16838"/>
      <w:pgMar w:top="2098" w:right="1474" w:bottom="1984" w:left="1587" w:header="851" w:footer="1247" w:gutter="0"/>
      <w:pgBorders>
        <w:top w:val="none" w:sz="0" w:space="0"/>
        <w:left w:val="none" w:sz="0" w:space="0"/>
        <w:bottom w:val="none" w:sz="0" w:space="0"/>
        <w:right w:val="none" w:sz="0" w:space="0"/>
      </w:pgBorders>
      <w:cols w:space="720" w:num="1"/>
      <w:formProt w:val="0"/>
      <w:docGrid w:type="lines" w:linePitch="57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
    <w:altName w:val="仿宋"/>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方正黑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48891">
    <w:pPr>
      <w:pStyle w:val="3"/>
      <w:tabs>
        <w:tab w:val="clear" w:pos="4153"/>
        <w:tab w:val="clear" w:pos="8306"/>
      </w:tabs>
      <w:ind w:left="350" w:right="360"/>
      <w:jc w:val="right"/>
    </w:pPr>
    <w:r>
      <w:rPr>
        <w:rStyle w:val="9"/>
        <w:rFonts w:hint="eastAsia" w:ascii="宋体" w:hAnsi="宋体" w:cs="宋体"/>
        <w:szCs w:val="28"/>
      </w:rPr>
      <w:t xml:space="preserve">— </w:t>
    </w:r>
    <w:r>
      <w:rPr>
        <w:rFonts w:hint="eastAsia" w:ascii="宋体" w:hAnsi="宋体" w:cs="宋体"/>
        <w:sz w:val="28"/>
        <w:szCs w:val="28"/>
      </w:rPr>
      <w:fldChar w:fldCharType="begin"/>
    </w:r>
    <w:r>
      <w:rPr>
        <w:rStyle w:val="9"/>
        <w:rFonts w:hint="eastAsia" w:ascii="宋体" w:hAnsi="宋体" w:cs="宋体"/>
        <w:szCs w:val="28"/>
      </w:rPr>
      <w:instrText xml:space="preserve"> PAGE </w:instrText>
    </w:r>
    <w:r>
      <w:rPr>
        <w:rFonts w:hint="eastAsia" w:ascii="宋体" w:hAnsi="宋体" w:cs="宋体"/>
        <w:sz w:val="28"/>
        <w:szCs w:val="28"/>
      </w:rPr>
      <w:fldChar w:fldCharType="separate"/>
    </w:r>
    <w:r>
      <w:rPr>
        <w:rStyle w:val="9"/>
        <w:rFonts w:ascii="宋体" w:hAnsi="宋体" w:cs="宋体"/>
        <w:szCs w:val="28"/>
      </w:rPr>
      <w:t>1</w:t>
    </w:r>
    <w:r>
      <w:rPr>
        <w:rFonts w:hint="eastAsia" w:ascii="宋体" w:hAnsi="宋体" w:cs="宋体"/>
        <w:sz w:val="28"/>
        <w:szCs w:val="28"/>
      </w:rPr>
      <w:fldChar w:fldCharType="end"/>
    </w:r>
    <w:r>
      <w:rPr>
        <w:rStyle w:val="9"/>
        <w:rFonts w:hint="eastAsia" w:ascii="宋体" w:hAnsi="宋体" w:cs="宋体"/>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4E37D">
    <w:pPr>
      <w:pStyle w:val="3"/>
      <w:tabs>
        <w:tab w:val="clear" w:pos="4153"/>
        <w:tab w:val="clear" w:pos="8306"/>
      </w:tabs>
      <w:ind w:left="350" w:right="360"/>
      <w:rPr>
        <w:rFonts w:hint="eastAsia" w:ascii="宋体" w:hAnsi="宋体" w:cs="宋体"/>
        <w:sz w:val="28"/>
        <w:szCs w:val="28"/>
      </w:rPr>
    </w:pPr>
    <w:r>
      <w:rPr>
        <w:rStyle w:val="9"/>
        <w:rFonts w:hint="eastAsia" w:ascii="宋体" w:hAnsi="宋体" w:cs="宋体"/>
        <w:szCs w:val="28"/>
      </w:rPr>
      <w:t xml:space="preserve">— </w:t>
    </w:r>
    <w:r>
      <w:rPr>
        <w:rFonts w:hint="eastAsia" w:ascii="宋体" w:hAnsi="宋体" w:cs="宋体"/>
        <w:sz w:val="28"/>
        <w:szCs w:val="28"/>
      </w:rPr>
      <w:fldChar w:fldCharType="begin"/>
    </w:r>
    <w:r>
      <w:rPr>
        <w:rStyle w:val="9"/>
        <w:rFonts w:hint="eastAsia" w:ascii="宋体" w:hAnsi="宋体" w:cs="宋体"/>
        <w:szCs w:val="28"/>
      </w:rPr>
      <w:instrText xml:space="preserve"> PAGE </w:instrText>
    </w:r>
    <w:r>
      <w:rPr>
        <w:rFonts w:hint="eastAsia" w:ascii="宋体" w:hAnsi="宋体" w:cs="宋体"/>
        <w:sz w:val="28"/>
        <w:szCs w:val="28"/>
      </w:rPr>
      <w:fldChar w:fldCharType="separate"/>
    </w:r>
    <w:r>
      <w:rPr>
        <w:rStyle w:val="9"/>
        <w:rFonts w:ascii="宋体" w:hAnsi="宋体" w:cs="宋体"/>
        <w:szCs w:val="28"/>
      </w:rPr>
      <w:t>2</w:t>
    </w:r>
    <w:r>
      <w:rPr>
        <w:rFonts w:hint="eastAsia" w:ascii="宋体" w:hAnsi="宋体" w:cs="宋体"/>
        <w:sz w:val="28"/>
        <w:szCs w:val="28"/>
      </w:rPr>
      <w:fldChar w:fldCharType="end"/>
    </w:r>
    <w:r>
      <w:rPr>
        <w:rStyle w:val="9"/>
        <w:rFonts w:hint="eastAsia" w:ascii="宋体" w:hAnsi="宋体" w:cs="宋体"/>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479DB">
    <w:pPr>
      <w:pStyle w:val="3"/>
      <w:tabs>
        <w:tab w:val="clear" w:pos="4153"/>
        <w:tab w:val="clear" w:pos="8306"/>
      </w:tabs>
      <w:ind w:left="350"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8085F">
    <w:pPr>
      <w:pStyle w:val="3"/>
      <w:tabs>
        <w:tab w:val="clear" w:pos="4153"/>
        <w:tab w:val="clear" w:pos="8306"/>
      </w:tabs>
      <w:ind w:left="350" w:right="360"/>
      <w:rPr>
        <w:rFonts w:hint="eastAsia" w:ascii="宋体" w:hAnsi="宋体" w:cs="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210"/>
  <w:drawingGridVerticalSpacing w:val="286"/>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4892"/>
    <w:rsid w:val="00080115"/>
    <w:rsid w:val="0008779F"/>
    <w:rsid w:val="000B6A4A"/>
    <w:rsid w:val="000D1002"/>
    <w:rsid w:val="000F68BC"/>
    <w:rsid w:val="001032F0"/>
    <w:rsid w:val="00107238"/>
    <w:rsid w:val="001076F1"/>
    <w:rsid w:val="0012241F"/>
    <w:rsid w:val="0014189C"/>
    <w:rsid w:val="00162DC7"/>
    <w:rsid w:val="00166AF3"/>
    <w:rsid w:val="00170BEE"/>
    <w:rsid w:val="00175470"/>
    <w:rsid w:val="00195E9F"/>
    <w:rsid w:val="001A5613"/>
    <w:rsid w:val="001C602B"/>
    <w:rsid w:val="001C7413"/>
    <w:rsid w:val="001D179D"/>
    <w:rsid w:val="001F6A72"/>
    <w:rsid w:val="00202223"/>
    <w:rsid w:val="0021189D"/>
    <w:rsid w:val="0021278C"/>
    <w:rsid w:val="00220A88"/>
    <w:rsid w:val="00220DF6"/>
    <w:rsid w:val="002377F6"/>
    <w:rsid w:val="00246FC7"/>
    <w:rsid w:val="002736D2"/>
    <w:rsid w:val="002A6349"/>
    <w:rsid w:val="002C4CC7"/>
    <w:rsid w:val="002D6516"/>
    <w:rsid w:val="002E1266"/>
    <w:rsid w:val="002F1660"/>
    <w:rsid w:val="0031061A"/>
    <w:rsid w:val="0031586E"/>
    <w:rsid w:val="00336712"/>
    <w:rsid w:val="0034457C"/>
    <w:rsid w:val="00376546"/>
    <w:rsid w:val="003A4172"/>
    <w:rsid w:val="003A45DA"/>
    <w:rsid w:val="003A4A13"/>
    <w:rsid w:val="003D1D76"/>
    <w:rsid w:val="003D436F"/>
    <w:rsid w:val="003D6DE9"/>
    <w:rsid w:val="004147B2"/>
    <w:rsid w:val="00423B26"/>
    <w:rsid w:val="00463633"/>
    <w:rsid w:val="004803AA"/>
    <w:rsid w:val="0048077D"/>
    <w:rsid w:val="0049445F"/>
    <w:rsid w:val="00494D3E"/>
    <w:rsid w:val="004A4CA9"/>
    <w:rsid w:val="004C049D"/>
    <w:rsid w:val="004C5389"/>
    <w:rsid w:val="004D3120"/>
    <w:rsid w:val="004E21F5"/>
    <w:rsid w:val="004F1597"/>
    <w:rsid w:val="0054000C"/>
    <w:rsid w:val="0054455E"/>
    <w:rsid w:val="005445C6"/>
    <w:rsid w:val="00557F4A"/>
    <w:rsid w:val="00563F00"/>
    <w:rsid w:val="00573123"/>
    <w:rsid w:val="00593E20"/>
    <w:rsid w:val="005D0D81"/>
    <w:rsid w:val="005D4C36"/>
    <w:rsid w:val="005D4F5E"/>
    <w:rsid w:val="005D5175"/>
    <w:rsid w:val="00605D48"/>
    <w:rsid w:val="0062737C"/>
    <w:rsid w:val="00636C8A"/>
    <w:rsid w:val="00641B25"/>
    <w:rsid w:val="0066170D"/>
    <w:rsid w:val="00670F6E"/>
    <w:rsid w:val="00672CC3"/>
    <w:rsid w:val="006B5B1B"/>
    <w:rsid w:val="006B7DE3"/>
    <w:rsid w:val="006C1733"/>
    <w:rsid w:val="00713809"/>
    <w:rsid w:val="00723C05"/>
    <w:rsid w:val="00725F6E"/>
    <w:rsid w:val="00726CAB"/>
    <w:rsid w:val="00764900"/>
    <w:rsid w:val="007801DC"/>
    <w:rsid w:val="007C1224"/>
    <w:rsid w:val="007C1D88"/>
    <w:rsid w:val="00817E2A"/>
    <w:rsid w:val="0082443F"/>
    <w:rsid w:val="008519E0"/>
    <w:rsid w:val="008657BD"/>
    <w:rsid w:val="008675F5"/>
    <w:rsid w:val="00873CF4"/>
    <w:rsid w:val="00875994"/>
    <w:rsid w:val="00881E65"/>
    <w:rsid w:val="0089473A"/>
    <w:rsid w:val="008B0959"/>
    <w:rsid w:val="008C39EE"/>
    <w:rsid w:val="008F2C1B"/>
    <w:rsid w:val="00905FED"/>
    <w:rsid w:val="0094076C"/>
    <w:rsid w:val="00963ADA"/>
    <w:rsid w:val="009943BF"/>
    <w:rsid w:val="009E3FA3"/>
    <w:rsid w:val="00A05570"/>
    <w:rsid w:val="00A27E73"/>
    <w:rsid w:val="00A30860"/>
    <w:rsid w:val="00A33A4D"/>
    <w:rsid w:val="00A53513"/>
    <w:rsid w:val="00A65181"/>
    <w:rsid w:val="00A7026D"/>
    <w:rsid w:val="00A73D8D"/>
    <w:rsid w:val="00A77A03"/>
    <w:rsid w:val="00A84F6B"/>
    <w:rsid w:val="00A87868"/>
    <w:rsid w:val="00AB64E6"/>
    <w:rsid w:val="00AE146F"/>
    <w:rsid w:val="00AE381A"/>
    <w:rsid w:val="00AE66BF"/>
    <w:rsid w:val="00AF3737"/>
    <w:rsid w:val="00B01F8B"/>
    <w:rsid w:val="00B039C6"/>
    <w:rsid w:val="00B10AB9"/>
    <w:rsid w:val="00B11439"/>
    <w:rsid w:val="00B208BC"/>
    <w:rsid w:val="00B543B5"/>
    <w:rsid w:val="00B869AF"/>
    <w:rsid w:val="00B91AE0"/>
    <w:rsid w:val="00B97CF9"/>
    <w:rsid w:val="00BB57D8"/>
    <w:rsid w:val="00BB6012"/>
    <w:rsid w:val="00BF5461"/>
    <w:rsid w:val="00C0097F"/>
    <w:rsid w:val="00C027A4"/>
    <w:rsid w:val="00C44735"/>
    <w:rsid w:val="00C44EAA"/>
    <w:rsid w:val="00C51C76"/>
    <w:rsid w:val="00C6724E"/>
    <w:rsid w:val="00C94013"/>
    <w:rsid w:val="00C958F7"/>
    <w:rsid w:val="00C97C61"/>
    <w:rsid w:val="00CC228C"/>
    <w:rsid w:val="00CC51FC"/>
    <w:rsid w:val="00CD6672"/>
    <w:rsid w:val="00CF6110"/>
    <w:rsid w:val="00CF6BED"/>
    <w:rsid w:val="00D221B0"/>
    <w:rsid w:val="00D9565E"/>
    <w:rsid w:val="00DA27AF"/>
    <w:rsid w:val="00DA625A"/>
    <w:rsid w:val="00DB0219"/>
    <w:rsid w:val="00DD0B61"/>
    <w:rsid w:val="00DD3FB0"/>
    <w:rsid w:val="00DF198D"/>
    <w:rsid w:val="00E1436F"/>
    <w:rsid w:val="00E16DFE"/>
    <w:rsid w:val="00E35C93"/>
    <w:rsid w:val="00E5568B"/>
    <w:rsid w:val="00E62C28"/>
    <w:rsid w:val="00E66F31"/>
    <w:rsid w:val="00E75647"/>
    <w:rsid w:val="00E77EBE"/>
    <w:rsid w:val="00E85D06"/>
    <w:rsid w:val="00E90FAA"/>
    <w:rsid w:val="00E932E7"/>
    <w:rsid w:val="00EC4B8F"/>
    <w:rsid w:val="00EE57AF"/>
    <w:rsid w:val="00F443F0"/>
    <w:rsid w:val="00F70386"/>
    <w:rsid w:val="00F71AC3"/>
    <w:rsid w:val="00F830BF"/>
    <w:rsid w:val="00F91FD9"/>
    <w:rsid w:val="00FA2E1E"/>
    <w:rsid w:val="00FA3145"/>
    <w:rsid w:val="00FE139E"/>
    <w:rsid w:val="00FE2856"/>
    <w:rsid w:val="00FF0F00"/>
    <w:rsid w:val="0138268E"/>
    <w:rsid w:val="02091683"/>
    <w:rsid w:val="02CA1233"/>
    <w:rsid w:val="047C73FF"/>
    <w:rsid w:val="04E11A0C"/>
    <w:rsid w:val="04FEDAEA"/>
    <w:rsid w:val="051D0E6C"/>
    <w:rsid w:val="05A96388"/>
    <w:rsid w:val="06903870"/>
    <w:rsid w:val="06C4343D"/>
    <w:rsid w:val="0718377C"/>
    <w:rsid w:val="08671A07"/>
    <w:rsid w:val="09173695"/>
    <w:rsid w:val="094207D6"/>
    <w:rsid w:val="0A6C345E"/>
    <w:rsid w:val="0ABA4E25"/>
    <w:rsid w:val="0BC441F6"/>
    <w:rsid w:val="0E4C7505"/>
    <w:rsid w:val="11C0F084"/>
    <w:rsid w:val="11C11079"/>
    <w:rsid w:val="11D29402"/>
    <w:rsid w:val="12137217"/>
    <w:rsid w:val="13B5C679"/>
    <w:rsid w:val="161F13ED"/>
    <w:rsid w:val="164A9232"/>
    <w:rsid w:val="17C0A791"/>
    <w:rsid w:val="1A87BEE1"/>
    <w:rsid w:val="1DFC5A40"/>
    <w:rsid w:val="1E5C74F4"/>
    <w:rsid w:val="1F262F8C"/>
    <w:rsid w:val="1F30EC33"/>
    <w:rsid w:val="1F61A138"/>
    <w:rsid w:val="2005CC66"/>
    <w:rsid w:val="227A404C"/>
    <w:rsid w:val="23504E85"/>
    <w:rsid w:val="24942891"/>
    <w:rsid w:val="24B40AD3"/>
    <w:rsid w:val="25138FE0"/>
    <w:rsid w:val="260A61C8"/>
    <w:rsid w:val="26DC0461"/>
    <w:rsid w:val="27808D3E"/>
    <w:rsid w:val="2903549B"/>
    <w:rsid w:val="29833F92"/>
    <w:rsid w:val="2B8E699E"/>
    <w:rsid w:val="2C7BD56F"/>
    <w:rsid w:val="2CF6032E"/>
    <w:rsid w:val="2ED525CF"/>
    <w:rsid w:val="2F518555"/>
    <w:rsid w:val="2F7010A7"/>
    <w:rsid w:val="2FB3DD77"/>
    <w:rsid w:val="2FE6C39F"/>
    <w:rsid w:val="309B972F"/>
    <w:rsid w:val="32C36ECE"/>
    <w:rsid w:val="34A4AE0D"/>
    <w:rsid w:val="36943738"/>
    <w:rsid w:val="3A124751"/>
    <w:rsid w:val="3BF330C5"/>
    <w:rsid w:val="3C270530"/>
    <w:rsid w:val="3F1848C7"/>
    <w:rsid w:val="3FA1CB92"/>
    <w:rsid w:val="40F82B69"/>
    <w:rsid w:val="41A3004A"/>
    <w:rsid w:val="4268600C"/>
    <w:rsid w:val="42AF69CE"/>
    <w:rsid w:val="42FF7810"/>
    <w:rsid w:val="45F05F7C"/>
    <w:rsid w:val="493ACDFC"/>
    <w:rsid w:val="49547DD9"/>
    <w:rsid w:val="4960B306"/>
    <w:rsid w:val="4DA357FE"/>
    <w:rsid w:val="4DEB63AD"/>
    <w:rsid w:val="4F204EE4"/>
    <w:rsid w:val="4F552FB8"/>
    <w:rsid w:val="4FDEDABB"/>
    <w:rsid w:val="50712E9B"/>
    <w:rsid w:val="50A94873"/>
    <w:rsid w:val="512BA34C"/>
    <w:rsid w:val="51F50FDD"/>
    <w:rsid w:val="525B7C9E"/>
    <w:rsid w:val="543069BA"/>
    <w:rsid w:val="55819FB2"/>
    <w:rsid w:val="56D5DEE1"/>
    <w:rsid w:val="5740F666"/>
    <w:rsid w:val="59524A88"/>
    <w:rsid w:val="5969B8DF"/>
    <w:rsid w:val="5B0669BA"/>
    <w:rsid w:val="5B570105"/>
    <w:rsid w:val="5BBB48AC"/>
    <w:rsid w:val="5C2B2ADE"/>
    <w:rsid w:val="5C9AB7C6"/>
    <w:rsid w:val="5D07F54E"/>
    <w:rsid w:val="60245E59"/>
    <w:rsid w:val="602A4DBC"/>
    <w:rsid w:val="6036B7B8"/>
    <w:rsid w:val="606A4919"/>
    <w:rsid w:val="61295EB3"/>
    <w:rsid w:val="628B6631"/>
    <w:rsid w:val="62B9418E"/>
    <w:rsid w:val="62D8C213"/>
    <w:rsid w:val="6312D00B"/>
    <w:rsid w:val="63856E36"/>
    <w:rsid w:val="63B735BD"/>
    <w:rsid w:val="662C0A66"/>
    <w:rsid w:val="66C68DF8"/>
    <w:rsid w:val="670D56AA"/>
    <w:rsid w:val="6760691C"/>
    <w:rsid w:val="67DEDC40"/>
    <w:rsid w:val="68128480"/>
    <w:rsid w:val="681B135B"/>
    <w:rsid w:val="690607B3"/>
    <w:rsid w:val="69B08FC7"/>
    <w:rsid w:val="6B676B1A"/>
    <w:rsid w:val="6C61117A"/>
    <w:rsid w:val="6D373B64"/>
    <w:rsid w:val="6E28575F"/>
    <w:rsid w:val="6F360E32"/>
    <w:rsid w:val="70FB777B"/>
    <w:rsid w:val="72AC4BF8"/>
    <w:rsid w:val="72E4478C"/>
    <w:rsid w:val="72F3B0A1"/>
    <w:rsid w:val="74EFB25D"/>
    <w:rsid w:val="764656DA"/>
    <w:rsid w:val="77164265"/>
    <w:rsid w:val="7782FFAF"/>
    <w:rsid w:val="786DF18C"/>
    <w:rsid w:val="789018C6"/>
    <w:rsid w:val="78F404CB"/>
    <w:rsid w:val="79312219"/>
    <w:rsid w:val="7A4A1BBE"/>
    <w:rsid w:val="7ABF8C4D"/>
    <w:rsid w:val="7C173CBC"/>
    <w:rsid w:val="7DBDE008"/>
    <w:rsid w:val="7DC5E28C"/>
    <w:rsid w:val="7EF45022"/>
    <w:rsid w:val="80745B36"/>
    <w:rsid w:val="83A19699"/>
    <w:rsid w:val="84126E99"/>
    <w:rsid w:val="87155431"/>
    <w:rsid w:val="874D77AB"/>
    <w:rsid w:val="895D421C"/>
    <w:rsid w:val="8C752FE9"/>
    <w:rsid w:val="8CC1B269"/>
    <w:rsid w:val="8CE1FCC2"/>
    <w:rsid w:val="8D10346C"/>
    <w:rsid w:val="9521D9F6"/>
    <w:rsid w:val="99A0BC3D"/>
    <w:rsid w:val="99FF4006"/>
    <w:rsid w:val="9AB570DE"/>
    <w:rsid w:val="9C170695"/>
    <w:rsid w:val="AA8F17E0"/>
    <w:rsid w:val="AADE0C6A"/>
    <w:rsid w:val="B05935C0"/>
    <w:rsid w:val="B10C12E1"/>
    <w:rsid w:val="B3093653"/>
    <w:rsid w:val="B30D5132"/>
    <w:rsid w:val="B3471112"/>
    <w:rsid w:val="B419165A"/>
    <w:rsid w:val="B664E6A9"/>
    <w:rsid w:val="B829D2C7"/>
    <w:rsid w:val="BA4ECE74"/>
    <w:rsid w:val="BA7FA7D7"/>
    <w:rsid w:val="BD420116"/>
    <w:rsid w:val="BD778A16"/>
    <w:rsid w:val="BEEC4D00"/>
    <w:rsid w:val="C15B9BBB"/>
    <w:rsid w:val="C3C7C870"/>
    <w:rsid w:val="C790DABA"/>
    <w:rsid w:val="C93121E7"/>
    <w:rsid w:val="C9F22015"/>
    <w:rsid w:val="CAA5013A"/>
    <w:rsid w:val="CEDDAC4B"/>
    <w:rsid w:val="CF10EEFD"/>
    <w:rsid w:val="D1EDBECE"/>
    <w:rsid w:val="D39466B5"/>
    <w:rsid w:val="D4664327"/>
    <w:rsid w:val="D6A8FDDB"/>
    <w:rsid w:val="D7B25A89"/>
    <w:rsid w:val="D8214005"/>
    <w:rsid w:val="D8A89216"/>
    <w:rsid w:val="D8C5F3CA"/>
    <w:rsid w:val="DA6B214A"/>
    <w:rsid w:val="DAEFC9E3"/>
    <w:rsid w:val="DDC14176"/>
    <w:rsid w:val="DF6AB114"/>
    <w:rsid w:val="E3781ECB"/>
    <w:rsid w:val="E5A23276"/>
    <w:rsid w:val="E61DA969"/>
    <w:rsid w:val="E7405CB7"/>
    <w:rsid w:val="E82D5A98"/>
    <w:rsid w:val="E9B4216E"/>
    <w:rsid w:val="EA3199E1"/>
    <w:rsid w:val="EB1BE3A5"/>
    <w:rsid w:val="EDAE1FC7"/>
    <w:rsid w:val="EDDF828B"/>
    <w:rsid w:val="EE9D71B2"/>
    <w:rsid w:val="F005C9F4"/>
    <w:rsid w:val="F0E3EB2B"/>
    <w:rsid w:val="F29C1D83"/>
    <w:rsid w:val="F4DDECA2"/>
    <w:rsid w:val="F6C77ED7"/>
    <w:rsid w:val="F9CB3BAE"/>
    <w:rsid w:val="FCBF3146"/>
    <w:rsid w:val="FE0AD783"/>
    <w:rsid w:val="FE99BD6E"/>
    <w:rsid w:val="FF14DD5D"/>
    <w:rsid w:val="FFFE1E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630"/>
    </w:pPr>
    <w:rPr>
      <w:rFonts w:ascii="Times New Roman" w:hAnsi="Times New Roman" w:eastAsia="仿宋_GB2312"/>
      <w:kern w:val="0"/>
      <w:sz w:val="32"/>
      <w:szCs w:val="20"/>
    </w:rPr>
  </w:style>
  <w:style w:type="paragraph" w:styleId="3">
    <w:name w:val="footer"/>
    <w:basedOn w:val="1"/>
    <w:link w:val="13"/>
    <w:qFormat/>
    <w:uiPriority w:val="0"/>
    <w:pPr>
      <w:tabs>
        <w:tab w:val="center" w:pos="4153"/>
        <w:tab w:val="right" w:pos="8306"/>
      </w:tabs>
      <w:snapToGrid w:val="0"/>
      <w:jc w:val="left"/>
    </w:pPr>
    <w:rPr>
      <w:kern w:val="0"/>
      <w:sz w:val="18"/>
      <w:szCs w:val="18"/>
    </w:rPr>
  </w:style>
  <w:style w:type="paragraph" w:styleId="4">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val="0"/>
      <w:spacing w:before="100" w:beforeAutospacing="1" w:after="100" w:afterAutospacing="1" w:line="240" w:lineRule="auto"/>
      <w:ind w:left="0" w:right="0" w:firstLine="880" w:firstLineChars="200"/>
      <w:jc w:val="left"/>
    </w:pPr>
    <w:rPr>
      <w:rFonts w:ascii="Times New Roman" w:hAnsi="Times New Roman" w:eastAsia="方正仿宋" w:cs="Times New Roman"/>
      <w:kern w:val="0"/>
      <w:sz w:val="24"/>
      <w:szCs w:val="24"/>
      <w:lang w:val="en-US" w:eastAsia="zh-CN"/>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page number"/>
    <w:qFormat/>
    <w:uiPriority w:val="0"/>
    <w:rPr>
      <w:rFonts w:eastAsia="宋体"/>
      <w:sz w:val="28"/>
    </w:rPr>
  </w:style>
  <w:style w:type="paragraph" w:customStyle="1" w:styleId="10">
    <w:name w:val="附件"/>
    <w:basedOn w:val="1"/>
    <w:qFormat/>
    <w:uiPriority w:val="0"/>
    <w:pPr>
      <w:ind w:left="1638" w:hanging="1016"/>
    </w:pPr>
    <w:rPr>
      <w:rFonts w:ascii="Times New Roman" w:hAnsi="Times New Roman" w:eastAsia="仿宋_GB2312"/>
      <w:sz w:val="32"/>
      <w:szCs w:val="20"/>
    </w:rPr>
  </w:style>
  <w:style w:type="paragraph" w:customStyle="1" w:styleId="11">
    <w:name w:val="抄 送"/>
    <w:basedOn w:val="1"/>
    <w:qFormat/>
    <w:uiPriority w:val="0"/>
    <w:rPr>
      <w:rFonts w:ascii="Times New Roman" w:hAnsi="Times New Roman" w:eastAsia="仿宋_GB2312"/>
      <w:sz w:val="32"/>
      <w:szCs w:val="20"/>
    </w:rPr>
  </w:style>
  <w:style w:type="paragraph" w:customStyle="1" w:styleId="12">
    <w:name w:val="秘密紧急"/>
    <w:basedOn w:val="1"/>
    <w:qFormat/>
    <w:uiPriority w:val="0"/>
    <w:pPr>
      <w:jc w:val="right"/>
    </w:pPr>
    <w:rPr>
      <w:rFonts w:ascii="黑体" w:hAnsi="Times New Roman" w:eastAsia="黑体"/>
      <w:sz w:val="32"/>
      <w:szCs w:val="20"/>
    </w:rPr>
  </w:style>
  <w:style w:type="character" w:customStyle="1" w:styleId="13">
    <w:name w:val="页脚 Char"/>
    <w:link w:val="3"/>
    <w:qFormat/>
    <w:uiPriority w:val="0"/>
    <w:rPr>
      <w:rFonts w:ascii="Calibri" w:hAnsi="Calibri" w:eastAsia="宋体" w:cs="Times New Roman"/>
      <w:kern w:val="0"/>
      <w:sz w:val="18"/>
      <w:szCs w:val="18"/>
    </w:rPr>
  </w:style>
  <w:style w:type="character" w:customStyle="1" w:styleId="14">
    <w:name w:val="页眉 Char"/>
    <w:link w:val="4"/>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wdzx97.dot</Template>
  <Company>WANG JIAN</Company>
  <Pages>12</Pages>
  <Words>4169</Words>
  <Characters>4240</Characters>
  <Lines>1</Lines>
  <Paragraphs>1</Paragraphs>
  <TotalTime>0</TotalTime>
  <ScaleCrop>false</ScaleCrop>
  <LinksUpToDate>false</LinksUpToDate>
  <CharactersWithSpaces>4337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2019-02-21T02:52:00Z</dcterms:created>
  <dc:creator>系统管理员</dc:creator>
  <cp:lastModifiedBy>夜月魂</cp:lastModifiedBy>
  <dcterms:modified xsi:type="dcterms:W3CDTF">2025-12-31T12:05:55Z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B77DFDE65F70481AB34EFD97ABD5F014_13</vt:lpwstr>
  </property>
</Properties>
</file>