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曲靖市市级行政事业性国有资产处置管理办法</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曲财资〔2023〕23号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w:t>
      </w:r>
      <w:r>
        <w:rPr>
          <w:rFonts w:hint="default" w:ascii="黑体" w:hAnsi="黑体" w:eastAsia="黑体" w:cs="黑体"/>
          <w:i w:val="0"/>
          <w:caps w:val="0"/>
          <w:color w:val="333333"/>
          <w:spacing w:val="0"/>
          <w:kern w:val="2"/>
          <w:sz w:val="32"/>
          <w:szCs w:val="32"/>
          <w:shd w:val="clear" w:color="auto" w:fill="FFFFFF"/>
          <w:lang w:val="en-US" w:eastAsia="zh-CN" w:bidi="ar-SA"/>
        </w:rPr>
        <w:t>  总</w:t>
      </w:r>
      <w:r>
        <w:rPr>
          <w:rFonts w:hint="eastAsia" w:ascii="黑体" w:hAnsi="黑体" w:eastAsia="黑体" w:cs="黑体"/>
          <w:i w:val="0"/>
          <w:caps w:val="0"/>
          <w:color w:val="333333"/>
          <w:spacing w:val="0"/>
          <w:kern w:val="2"/>
          <w:sz w:val="32"/>
          <w:szCs w:val="32"/>
          <w:shd w:val="clear" w:color="auto" w:fill="FFFFFF"/>
          <w:lang w:val="en-US" w:eastAsia="zh-CN" w:bidi="ar-SA"/>
        </w:rPr>
        <w:t xml:space="preserve">  </w:t>
      </w:r>
      <w:r>
        <w:rPr>
          <w:rFonts w:hint="default" w:ascii="黑体" w:hAnsi="黑体" w:eastAsia="黑体" w:cs="黑体"/>
          <w:i w:val="0"/>
          <w:caps w:val="0"/>
          <w:color w:val="333333"/>
          <w:spacing w:val="0"/>
          <w:kern w:val="2"/>
          <w:sz w:val="32"/>
          <w:szCs w:val="32"/>
          <w:shd w:val="clear" w:color="auto" w:fill="FFFFFF"/>
          <w:lang w:val="en-US" w:eastAsia="zh-CN" w:bidi="ar-SA"/>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为规范和加强市级行政事业单位国有资产处置管理，维护国有资产安全完整，保障国家所有者权益，根据《曲靖市人民政府办公室关于印发曲靖市市级行政事业性国有资产管理办法的通知》（曲政办规〔2021〕1号），结合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第二条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本办法适用于曲靖市市级行政事业单位国有资产处置行为。本办法所称市级行政事业单位是指市级党的机关、人大常委会机关、行政机关、政协机关、各民主党派机关、群团机关和各类事业单位。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本办法所称的行政事业单位国有资产，是指由行政事业单位占有、使用、管理的，依法确认为国家所有的各种经济资源。其表现形式为固定资产、流动资产、无形资产和对外投资等。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国有资产处置，是指市级行政事业单位对其占有、使用、管理的国有资产进行产权转移或者核销资产价值的行为。处置方式包括无偿调拨（划转）、出售、出让、转让、置换、对外捐赠、报废、报损以及货币性资产损失核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市级行政事业单位处置国有资产，应当遵循公开、公平、公正的原则，符合法律、法规和规章规定，产权清晰无争议，与资产配置、使用相结合，严格按照规定权限履行审批手续，未经批准不得擅自处置。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第二章  处置范围及评估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第六条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市级行政事业单位处置的国有资产范围包括：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（一）闲置资产；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（二）因技术原因并经过专业评定，确需报废、淘汰的资产；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（三）因单位分立、撤销、合并、改制、隶属关系改变等原因发生的产权或者使用权转移的资产；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（四）盘亏、呆坏账及非正常损失的资产；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（五）已超过使用年限且无法满足现有工作需要的资产；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（六）因自然灾害等不可抗力造成损毁、灭失的资产；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（七）依照国家有关规定需要进行资产处置的其他情形。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第七条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市级行政事业单位确因技术淘汰或国家其他规定需要进行替换，但还可以继续使用的国有资产（非涉密），可在行政事业单位资产管理信息系统平台进行登记，供调剂或捐赠使用。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第八条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国有资产处置事项的批复和处置交易凭证，是单位进行相关资产和会计账务处理、有关部门办理资产产权变更和登记手续的依据。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第九条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市级行政事业单位有以下情况需要进行资产评估：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（一）拍卖、有偿转让、置换国有资产的；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（二）整体或者部分改制为企业的；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（三）合并、分立、清算的；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（四）确定涉讼资产价值的；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（五）取得没有原始价格凭证资产的；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（六）整体或者部分资产租赁给非国有单位的；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（七）依照国家有关规定需要进行资产评估的其他情形。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市级行政事业单位有下列情形之一的，可以不进行资产评估：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（一）经批准整体或部分资产无偿划转的；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（二）下属单位之间合并、资产划转、置换和转让的；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（三）发生其他不影响国有资产权益的特殊产权变动行为，根据权限报经市机关事务局、市财政局确认可以不进行资产评估的。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第十一条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市级行政事业单位应当如实向资产评估机构提供有关情况和资料，并对所提供的情况和资料的客观性、真实性和合法性负责，不得以任何形式干预资产评估机构独立执行。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第三章  出售、出让、转让和置换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第十二条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出售、出让、转让是指变更行政事业单位国有资产所有权或占有、使用权并取得相应收益的行为。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第十三条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出售、出让、转让土地、房屋、车辆和大型（贵重）仪器、设备、股权等符合进场交易的国有资产，按照规定评估后，经审批，纳入统一的公共资源交易平台，通过产权交易机构、招标代理机构或拍卖机构，采取“招、拍、挂”或者国家法律法规规定的其他方式进行公开处置。在交易过程中，当交易价格低于评估价格的90%，应当按规定权限报市财政局、市机关事务局或主管部门重新确认后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第十四条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市级行政事业单位申请出售、出让、转让国有资产，应提交以下材料：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（三）资产价值凭证及产权证明。如：购货发票或收据、工程决算副本、国有土地使用权证、房屋所有权证、股权证等凭据的复印件（加盖单位公章）；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（四）涉及资产评估的，需提供有资质的评估公司出具的评估报告；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（五）出售、出让、转让合同草案，属于股权转让的，还应提交股权转让可行性报告；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（六）出售、出让、转让国有资产的内部决议或会议纪要复印件（加盖单位公章）；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第十五条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置换是指单位与其他单位以非货币性资产为主进行的交换，该交换不涉及或只涉及少量的货币性资产（即补价）。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第十六条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涉及征收的国有资产置换，应当确保单位工作正常开展，征收补偿应当达到国家或当地人民政府规定的补偿标准。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第十七条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市级行政事业单位申请国有资产置换，应提交以下材料：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（三）资产价值凭证及产权证明。如：购货发票或收据、工程决算副本、国有土地使用权证、房屋所有权证等凭据的复印件（加盖单位公章）；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（四）对方单位拟用于置换资产的基本情况说明、是否已被设置为担保物等；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（五）双方草签的置换协议；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（六）置换双方同一时间点资产评估价值情况对比材料；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（七）对方单位的法人证书或营业执照的复印件（加盖单位公章）；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（八）当地人民政府或部门关于同意置换的会议纪要、置换意向书；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（九）其他材料。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第四章  报废、报损和核销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第十八条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报废是指对达到使用年限，经技术鉴定或按有关规定，已不能继续使用的资产进行产权核销的处置行为。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第十九条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车辆、电器电子产品、危险品报废处理应当符合国家有关规定。国家或行业对资产报废有技术要求的，应当由具备相应资质的专业机构进行技术鉴定。涉及环保安全的报废、报损资产处置应由有资质的企业进行回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第二十条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市级行政事业单位申请报废国有资产的，应提交以下材料：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（三）能够证明报废资产价值的有效凭证。如：购货发票或收据、工程决算副本、记账凭证、固定资产卡片、盘点表及产权证明等凭据的复印件（加盖单位公章）；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房屋及构筑物因老旧、年久失修等原因需办理资产核销手续的，需提交有资质的中介机构出具的危房鉴定报告；公务用车、执法执勤用车报废需提供车辆编制管理部门的有关审核意见；报废特种设备的，应提供职能部门出具的相关鉴定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第二十一条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报损是指对盘亏、发生呆坏账或非正常损失的资产进行产权核销的处置行为。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w:t>
      </w:r>
      <w:r>
        <w:rPr>
          <w:rFonts w:hint="default" w:ascii="黑体" w:hAnsi="黑体" w:eastAsia="黑体" w:cs="黑体"/>
          <w:i w:val="0"/>
          <w:caps w:val="0"/>
          <w:color w:val="333333"/>
          <w:spacing w:val="0"/>
          <w:kern w:val="2"/>
          <w:sz w:val="32"/>
          <w:szCs w:val="32"/>
          <w:shd w:val="clear" w:color="auto" w:fill="FFFFFF"/>
          <w:lang w:val="en-US" w:eastAsia="zh-CN" w:bidi="ar-SA"/>
        </w:rPr>
        <w:t>二十二条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国有资产存在下列情形之一的，可以申请报损：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（一）债务人已依法破产或者死亡（含依法宣告死亡）的，根据法律规定其清算财产或者遗产不足清偿的；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（二）因不可抗力因素造成损失的；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（三）还未达到正常报废条件，因技术进步淘汰、损坏严重无法修复或修复价值过高的；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（四）根据国家有关规定，可以报损的其他情形。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行政事业单位应当对报损的国有资产备查登记，实行“账销案存”的方式管理，对已批准核销的资产损失，单位仍有追偿的权利和义务，对“账销案存”资产清理和追索收回的资产，应当及时入账，货币性资产上缴市级国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default" w:ascii="黑体" w:hAnsi="黑体" w:eastAsia="黑体" w:cs="黑体"/>
          <w:i w:val="0"/>
          <w:caps w:val="0"/>
          <w:color w:val="333333"/>
          <w:spacing w:val="0"/>
          <w:kern w:val="2"/>
          <w:sz w:val="32"/>
          <w:szCs w:val="32"/>
          <w:shd w:val="clear" w:color="auto" w:fill="FFFFFF"/>
          <w:lang w:val="en-US" w:eastAsia="zh-CN" w:bidi="ar-SA"/>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市级行政事业单位申请报损资产的，应提交以下材料：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（三）能够证明盘亏、毁损以及非正常损失资产价值的有效凭证。如：购货发票或收据、工程决算副本、记账凭证、固定资产卡片、盘点表及产权证明等凭据的复印件（加盖单位公章）；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（五）非正常损失责任事故的鉴定文件及对责任者的处理文件；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（六）房屋及构筑物因城市规划等原因办理资产核销手续的，需提交有关职能部门的房屋拆除批复文件、建设项目拆建立项文件、双方签订的房屋拆迁补偿协议等材料；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因技术进步淘汰、损坏严重无法修复或修复价值过高还未达到正常报废条件单项资产原值30万元以上的，应由主管部门组织专家和技术人员3人以上，对拟报损资产进行技术鉴定并出具鉴定材料；报损单项资产原值30万元以下的，由单位组成鉴定小组进行技术鉴定，并由鉴定小组出具鉴定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（八）其他材料。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市级行政事业单位国有资产对外投资、担保（抵押）发生损失申请报损处置的，应提交以下材料：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（四）被投资单位的清算审计报告及注销文件；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（五）债权或股权凭证、形成呆坏账的情况说明和具有法定依据的证明材料；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（六）申请仲裁或提起诉讼的，提交有关法律文书；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（七）破产企业应提交法院判决书或裁定书等材料；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（八）其他材料。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第二十六条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货币性资产损失核销是指单位按现行财务与会计制度，对确认形成损失的货币性资产（现金、银行存款、应收账款、应收票据等）进行核销的行为。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第二十七条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市级行政事业单位申请货币性资产损失核销，应提交以下材料：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债务人已被依法宣告破产、撤销、关闭，用债务人清算财产清偿后仍不能弥补损失的，提供宣告破产的民事裁定书以及财产清算报告、注销企业登记或吊销营业执照的证明、政府有关部门决定关闭的文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（四）债务人死亡或者依法被宣告失踪、死亡的，提供其财产或遗产不足清偿的法律文件；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（五）无法找到债务人的，需提供通过公告、诉讼等方式向债务人、担保人或责任人的追索材料；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（六）涉及诉讼的，提供判决裁定申报单位败诉的人民法院生效判决书或裁定书，或虽胜诉但因无法执行被裁定终止执行的法律文件；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第五章  无偿调拨（划转）和捐赠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第二十八条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无偿调拨（划转）是指在不改变国有资产性质的前提下，以无偿转让的方式变更国有资产占有、使用权的行为。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第二十九条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无偿调拨（划转）的国有资产包括：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（一）长期闲置不用、低效运转、超标准配置的资产；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（二）因单位撤销、合并、分立而移交的资产；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（三）隶属关系改变，上划、下划的资产；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（四）其他需调拨（划转）的资产。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除国家另有规定外，市级行政事业单位公益性国有资产，不可无偿调拨（划转）或注入企业。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第三十一条</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市级行政事业单位申请国有资产无偿调拨（划转），应提交以下材料：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（三）资产价值凭证及产权证明。如：购货发票或收据、工程决算副本、国有土地使用权证、房屋所有权证、股权证等凭据的复印件（加盖单位公章）；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（四）因单位撤销、合并、分立而移交资产的，需提供撤销、合并、分立的批文；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（五）拟无偿调拨（划转）国有资产的名称、数量、规格、单价等清单；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（六）接收方同意接收的相关材料；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（七）公务用车、执法执勤用车无偿调拨（划转）需提供车辆编制管理部门的有关审核意见；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（八）其他材料。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第三十二条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对外捐赠是指市级行政事业单位依照《中华人民共和国公益事业捐赠法》，自愿无偿将其占有、使用的国有资产赠与给合法的受赠人的行为，包括实物资产、货币性资产、无形资产捐赠等。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第三十三条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市级行政事业单位捐赠国有资产原则上仅限于公益性和扶贫、赈灾等救济性捐赠。对外捐赠应当利用本单位闲置资产或者淘汰且具有使用价值的资产，不得新购资产用于捐赠。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第三十四条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市级行政事业单位国有资产对外捐赠，应提交以下材料：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（二）国有资产处置申请表（加盖单位公章）；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（三）捐赠单位出具的捐赠事项对本单位财务状况和业务活动影响的分析报告，使用货币资金对外捐赠的，应提供货币资金的来源说明等；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（四）关于同意捐赠的内部决议或会议纪要复印件（加盖单位公章）；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（五）能够证明捐赠资产价值的有效凭证。如：购货发票或收据、工程决算副本、记账凭证、固定资产卡片及产权证明等凭据的复印件（加盖单位公章）；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（六）其他材料。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第三十五条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实际发生的对外捐赠，应当依据受赠方出具的同级财政部门或主管部门统一印（监）制的捐赠收据或者捐赠资产交接清单确认；对无法索取同级财政部门或主管部门统一印（监）制的捐赠收据的，应当依据受赠方所在地城镇街道、乡镇等基层政府组织出具的证明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第六章  审批权限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第三十六条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市级行政事业单位处置国有资产的，应按规定提供材料，并对材料的真实性、有效性、准确性负责，报市财政局进行审批。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第三十七条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除国家另有规定外，市级行政事业单位处置国有资产，由市机关事务管理局审核，市财政局审批的：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（一）正常报废或一次性批量处置资产原值 500万元（含）以下的；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（二）按规定核销单笔或批量货币性资产损失 5万元（含）以下的；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（三）同一主管部门内部无偿调拨（划转）资产的；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（四）跨部门、跨级次无偿调拨（划转）资产原值 500万元（含）以下的。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第三十八条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除国家另有规定外，市级行政事业单位国有资产处置由市财政局按照职能职责审核后报市人民政府审批的：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（一）涉及土地再利用且属于经营性开发的；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（二）协议处置股权的；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（三）处置国有资产总价值在500万元（不含）以上的，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（四）核销单笔或批量货币性资产损失 5万元（不含）以上的；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（五）需要报批的其他重大事项。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第三十九条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市级行政事业单位国有资产处置过程中需要进行资产清查的，市级研究机构、高校科技成果转化事项按照《曲靖市市级行政事业性国有资产使用管理办法》执行。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第七章  处置收益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处置收益是指在出售、出让、转让、置换、报废、报损等处置国有资产过程中获得的收入，包括出售实物资产和无形资产的收入、置换差价收入、报废报损残值变价收入、保险理赔收入、转让土地使用权收益等。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第四十一条 </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市级行政事业单位国有资产处置收益，应当依法缴纳税费，除本办法第四十四条、四十五条外，处置收益及时、足额上缴市级国库，实行“收支两条线”管理。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第四十二条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有政府性债务、隐性债务的市级行政事业单位国有资产处置收益，在申请预算安排国有资源（资产）有偿使用成本性补助时，可用于化解本单位债务。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第四十三条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高等院校自主处置已达使用年限并且应淘汰报废的资产（除土地使用权和房屋构筑物外）取得的收益，留归高校，纳入学校预算，统一核算，统一管理。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w:t>
      </w:r>
      <w:r>
        <w:rPr>
          <w:rFonts w:hint="eastAsia" w:ascii="黑体" w:hAnsi="黑体" w:eastAsia="黑体" w:cs="黑体"/>
          <w:i w:val="0"/>
          <w:caps w:val="0"/>
          <w:color w:val="333333"/>
          <w:spacing w:val="0"/>
          <w:kern w:val="2"/>
          <w:sz w:val="32"/>
          <w:szCs w:val="32"/>
          <w:shd w:val="clear" w:color="auto" w:fill="FFFFFF"/>
          <w:lang w:val="en-US" w:eastAsia="zh-CN" w:bidi="ar-SA"/>
        </w:rPr>
        <w:t>四条</w:t>
      </w:r>
      <w:r>
        <w:rPr>
          <w:rFonts w:hint="default" w:ascii="黑体" w:hAnsi="黑体" w:eastAsia="黑体" w:cs="黑体"/>
          <w:i w:val="0"/>
          <w:caps w:val="0"/>
          <w:color w:val="333333"/>
          <w:spacing w:val="0"/>
          <w:kern w:val="2"/>
          <w:sz w:val="32"/>
          <w:szCs w:val="32"/>
          <w:shd w:val="clear" w:color="auto" w:fill="FFFFFF"/>
          <w:lang w:val="en-US" w:eastAsia="zh-CN" w:bidi="ar-SA"/>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研究开发机构、高等院校转化科技成果所获得的收益全部留归本单位，纳入单位预算，不上缴国库，主要用于对完成和转化职务科技成果做出重要贡献人员的奖励和报酬、科学技术研发与成果转化等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第四十五条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除本办法第四十五条外，市级事业单位利用国有资产对外投资形成的股权（权益）的出售、出让、转让收入，按以下规定办理：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利用现金对外投资形成的股权（权益）的出售、出让、转让，属于市级事业单位收回对外投资，股权（权益）出售、出让、转让，取得收入依法缴纳相关税费后，及时、足额缴入市级国库，实行“收支两条线”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（二）利用实物资产、无形资产对外投资形成的股权（权益）的出售、出让、转让收入，按以下情形分别处理：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1．收益形式为现金的，在依法缴纳税费后，及时、足额上缴市级国库，实行“收支两条线”管理；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2．收益形式为资产和现金的，现金部分在依法缴纳税费后，及时、足额上缴市级国库，实行“收支两条线”管理。资产部分留归单位使用。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（三）利用现金、实物资产、无形资产混合对外投资形成的股权（权益）的出售、出让、转让收入，按照本条第（一）、（二）项的有关规定分别管理。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第四十六条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市级行政事业单位应在取得处置收益并缴纳有关税费后10个工作日内足额上缴市级国库。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第八章  监督检查和法律责任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第四十七条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国有资产处置监督工作应当坚持单位内部监督与机关事务管理部门监督、财政监督、审计监督、社会监督相结合，事前监督与事中监督、事后监督相结合，日常监督与专项检查相结合。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第四十八条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市级行政事业单位要建立内部监督机制，确保资产处置过程中国有资产安全完整，防止国有资产流失。除涉及国家安全和秘密外，市级行政事业单位应当按照规定向社会公开国有资产处置情况，接受社会公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第四十九条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主管部门要加强所属单位国有资产处置全过程监督，建立资产处置监督制度，定期或不定期对所属单位国有资产处置情况进行检查。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第五十条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市财政局、市机关事务局要建立与自然资源规划、纪检监察、审计等部门的联动机制，加强对市级行政事业单位资产处置过程监督检查，维护国有资产安全完整。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第五十一条 </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国有资产处置过程中，存在下列行为的，按照《财政违法行为处罚处分条例》等有关规定处理：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（一）未经批准擅自处置的；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（二）在处置过程中弄虚作假，人为造成资产损失的；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（三）对不符合规定的申报处置材料予以审批的；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（四）隐瞒、截留、挤占、坐支和挪用资产处置收入的；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（五）其他违法、违规的资产处置行为。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第九章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第五十二条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涉及国家安全和秘密的市级行政事业单位国有资产处置，应当按照国家有关保密制度的规定，做好保密工作，防止失密和泄密。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第五十三条</w:t>
      </w:r>
      <w:r>
        <w:rPr>
          <w:rFonts w:hint="default" w:ascii="Times New Roman" w:hAnsi="Times New Roman" w:cs="Times New Roman"/>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参照公务员制度管理的事业单位按照本办法行政单位管理规定执行。市级人民团体处置国有资产的，参照本办法执行。实行企业化管理并执行企业财务会计制度的市级事业单位，按照企业国有资产管理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default" w:ascii="黑体" w:hAnsi="黑体" w:eastAsia="黑体" w:cs="黑体"/>
          <w:i w:val="0"/>
          <w:caps w:val="0"/>
          <w:color w:val="333333"/>
          <w:spacing w:val="0"/>
          <w:kern w:val="2"/>
          <w:sz w:val="32"/>
          <w:szCs w:val="32"/>
          <w:shd w:val="clear" w:color="auto" w:fill="FFFFFF"/>
          <w:lang w:val="en-US" w:eastAsia="zh-CN" w:bidi="ar-SA"/>
        </w:rPr>
        <w:t>第五十四条</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 公共基础设施、政府储备物资、国有文物文化资产等行政事业性国有资产处置，按照有关规定执行。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caps w:val="0"/>
          <w:color w:val="666666"/>
          <w:spacing w:val="0"/>
          <w:sz w:val="18"/>
          <w:szCs w:val="18"/>
        </w:rPr>
      </w:pPr>
      <w:r>
        <w:rPr>
          <w:rFonts w:hint="default" w:ascii="黑体" w:hAnsi="黑体" w:eastAsia="黑体" w:cs="黑体"/>
          <w:i w:val="0"/>
          <w:caps w:val="0"/>
          <w:color w:val="333333"/>
          <w:spacing w:val="0"/>
          <w:kern w:val="2"/>
          <w:sz w:val="32"/>
          <w:szCs w:val="32"/>
          <w:shd w:val="clear" w:color="auto" w:fill="FFFFFF"/>
          <w:lang w:val="en-US" w:eastAsia="zh-CN" w:bidi="ar-SA"/>
        </w:rPr>
        <w:t>第五十五条 </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市级各部门可以根据本办法，结合本部门实际情况制定国有资产处置管理办法。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kern w:val="2"/>
          <w:sz w:val="32"/>
          <w:szCs w:val="32"/>
          <w:shd w:val="clear" w:color="auto" w:fill="FFFFFF"/>
          <w:lang w:val="en-US" w:eastAsia="zh-CN" w:bidi="ar-SA"/>
        </w:rPr>
        <w:t>第五十六条 </w:t>
      </w:r>
      <w:r>
        <w:rPr>
          <w:rFonts w:hint="default" w:ascii="方正楷体_GBK" w:hAnsi="方正楷体_GBK" w:eastAsia="方正楷体_GBK" w:cs="方正楷体_GBK"/>
          <w:i w:val="0"/>
          <w:caps w:val="0"/>
          <w:color w:val="666666"/>
          <w:spacing w:val="0"/>
          <w:sz w:val="18"/>
          <w:szCs w:val="18"/>
          <w:bdr w:val="none" w:color="auto" w:sz="0" w:space="0"/>
          <w:shd w:val="clear" w:fill="FFFFFF"/>
        </w:rPr>
        <w:t> </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本办法自印发之日起施行，2009年7月1日印发的《曲靖市市级行政单位国有资产处置管理暂行办法》（曲政发〔2009〕72号）同时废止。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曲靖市财政局规范性文件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3163563"/>
    <w:rsid w:val="152D2DCA"/>
    <w:rsid w:val="17726B8B"/>
    <w:rsid w:val="17A04AF1"/>
    <w:rsid w:val="1A327980"/>
    <w:rsid w:val="1B3B26A1"/>
    <w:rsid w:val="1DEC284C"/>
    <w:rsid w:val="1E6523AC"/>
    <w:rsid w:val="20173A70"/>
    <w:rsid w:val="22440422"/>
    <w:rsid w:val="28C15572"/>
    <w:rsid w:val="29332E39"/>
    <w:rsid w:val="31A15F24"/>
    <w:rsid w:val="395347B5"/>
    <w:rsid w:val="39A232A0"/>
    <w:rsid w:val="39E745AA"/>
    <w:rsid w:val="3AA754FB"/>
    <w:rsid w:val="3B5A6BBB"/>
    <w:rsid w:val="3EDA13A6"/>
    <w:rsid w:val="42F058B7"/>
    <w:rsid w:val="436109F6"/>
    <w:rsid w:val="437F1524"/>
    <w:rsid w:val="441A38D4"/>
    <w:rsid w:val="449A29E7"/>
    <w:rsid w:val="449B558E"/>
    <w:rsid w:val="4B5E1B9F"/>
    <w:rsid w:val="4BC77339"/>
    <w:rsid w:val="4C9236C5"/>
    <w:rsid w:val="4CEC022A"/>
    <w:rsid w:val="505C172E"/>
    <w:rsid w:val="50C81C24"/>
    <w:rsid w:val="51C25188"/>
    <w:rsid w:val="52F46F0B"/>
    <w:rsid w:val="530E24AC"/>
    <w:rsid w:val="53D8014D"/>
    <w:rsid w:val="54D4572A"/>
    <w:rsid w:val="55E064E0"/>
    <w:rsid w:val="572C6D10"/>
    <w:rsid w:val="5DC34279"/>
    <w:rsid w:val="608816D1"/>
    <w:rsid w:val="60EF4E7F"/>
    <w:rsid w:val="65616474"/>
    <w:rsid w:val="665233C1"/>
    <w:rsid w:val="6755364C"/>
    <w:rsid w:val="69534ED7"/>
    <w:rsid w:val="69950814"/>
    <w:rsid w:val="69DB0579"/>
    <w:rsid w:val="6AD9688B"/>
    <w:rsid w:val="6B7B5091"/>
    <w:rsid w:val="6D0E3F22"/>
    <w:rsid w:val="6D4D379B"/>
    <w:rsid w:val="700C132B"/>
    <w:rsid w:val="7125023A"/>
    <w:rsid w:val="723006EA"/>
    <w:rsid w:val="786C6B8A"/>
    <w:rsid w:val="7C9011D9"/>
    <w:rsid w:val="7DC651C5"/>
    <w:rsid w:val="7DF726F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2024-04-09T08:18:21Z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