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cs="Times New Roman" w:eastAsiaTheme="majorEastAsia"/>
        </w:rPr>
      </w:pPr>
    </w:p>
    <w:p>
      <w:pPr>
        <w:pStyle w:val="6"/>
        <w:jc w:val="center"/>
        <w:outlineLvl w:val="0"/>
        <w:rPr>
          <w:rFonts w:hint="default" w:ascii="Times New Roman" w:hAnsi="Times New Roman" w:cs="Times New Roman" w:eastAsiaTheme="majorEastAsia"/>
          <w:b/>
          <w:sz w:val="72"/>
          <w:lang w:val="en-US" w:eastAsia="zh-CN"/>
        </w:rPr>
      </w:pPr>
      <w:r>
        <w:rPr>
          <w:rFonts w:hint="default" w:ascii="Times New Roman" w:hAnsi="Times New Roman" w:cs="Times New Roman" w:eastAsiaTheme="majorEastAsia"/>
          <w:b/>
          <w:sz w:val="72"/>
        </w:rPr>
        <w:t>曲靖市</w:t>
      </w:r>
      <w:r>
        <w:rPr>
          <w:rFonts w:hint="default" w:ascii="Times New Roman" w:hAnsi="Times New Roman" w:cs="Times New Roman" w:eastAsiaTheme="majorEastAsia"/>
          <w:b/>
          <w:sz w:val="72"/>
          <w:lang w:val="en-US" w:eastAsia="zh-CN"/>
        </w:rPr>
        <w:t>财政局</w:t>
      </w:r>
    </w:p>
    <w:p>
      <w:pPr>
        <w:pStyle w:val="6"/>
        <w:rPr>
          <w:rFonts w:hint="default" w:ascii="Times New Roman" w:hAnsi="Times New Roman" w:cs="Times New Roman" w:eastAsiaTheme="majorEastAsia"/>
          <w:b/>
          <w:sz w:val="52"/>
        </w:rPr>
      </w:pPr>
    </w:p>
    <w:p>
      <w:pPr>
        <w:pStyle w:val="6"/>
        <w:rPr>
          <w:rFonts w:hint="default" w:ascii="Times New Roman" w:hAnsi="Times New Roman" w:cs="Times New Roman" w:eastAsiaTheme="majorEastAsia"/>
          <w:b/>
          <w:sz w:val="48"/>
          <w:szCs w:val="18"/>
        </w:rPr>
      </w:pP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竞</w:t>
      </w: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争</w:t>
      </w: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性</w:t>
      </w:r>
    </w:p>
    <w:p>
      <w:pPr>
        <w:pStyle w:val="6"/>
        <w:spacing w:line="800" w:lineRule="exact"/>
        <w:ind w:firstLine="4337" w:firstLineChars="600"/>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谈</w:t>
      </w:r>
    </w:p>
    <w:p>
      <w:pPr>
        <w:pStyle w:val="6"/>
        <w:spacing w:line="800" w:lineRule="exact"/>
        <w:ind w:firstLine="4337" w:firstLineChars="600"/>
        <w:rPr>
          <w:rFonts w:hint="default" w:ascii="Times New Roman" w:hAnsi="Times New Roman" w:cs="Times New Roman" w:eastAsiaTheme="majorEastAsia"/>
          <w:b/>
          <w:sz w:val="72"/>
          <w:szCs w:val="18"/>
          <w:lang w:val="en-US" w:eastAsia="zh-CN"/>
        </w:rPr>
      </w:pPr>
      <w:r>
        <w:rPr>
          <w:rFonts w:hint="default" w:ascii="Times New Roman" w:hAnsi="Times New Roman" w:cs="Times New Roman" w:eastAsiaTheme="majorEastAsia"/>
          <w:b/>
          <w:kern w:val="0"/>
          <w:sz w:val="72"/>
          <w:szCs w:val="18"/>
          <w:lang w:eastAsia="zh-CN"/>
        </w:rPr>
        <w:t>判</w:t>
      </w:r>
      <w:r>
        <w:rPr>
          <w:rFonts w:hint="default" w:ascii="Times New Roman" w:hAnsi="Times New Roman" w:cs="Times New Roman" w:eastAsiaTheme="majorEastAsia"/>
          <w:b/>
          <w:kern w:val="0"/>
          <w:sz w:val="72"/>
          <w:szCs w:val="18"/>
          <w:lang w:val="en-US" w:eastAsia="zh-CN"/>
        </w:rPr>
        <w:t xml:space="preserve"> </w:t>
      </w:r>
      <w:r>
        <w:rPr>
          <w:rFonts w:hint="default" w:ascii="Times New Roman" w:hAnsi="Times New Roman" w:cs="Times New Roman" w:eastAsiaTheme="majorEastAsia"/>
          <w:b/>
          <w:sz w:val="72"/>
          <w:szCs w:val="18"/>
          <w:lang w:val="en-US" w:eastAsia="zh-CN"/>
        </w:rPr>
        <w:t xml:space="preserve">         </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采</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购</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文</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件</w:t>
      </w:r>
    </w:p>
    <w:p>
      <w:pPr>
        <w:pStyle w:val="6"/>
        <w:rPr>
          <w:rFonts w:hint="default" w:ascii="Times New Roman" w:hAnsi="Times New Roman" w:cs="Times New Roman" w:eastAsiaTheme="majorEastAsia"/>
          <w:b/>
          <w:sz w:val="72"/>
          <w:szCs w:val="18"/>
        </w:rPr>
      </w:pPr>
    </w:p>
    <w:p>
      <w:pPr>
        <w:rPr>
          <w:rFonts w:hint="default" w:ascii="Times New Roman" w:hAnsi="Times New Roman" w:cs="Times New Roman"/>
        </w:rPr>
      </w:pPr>
    </w:p>
    <w:p>
      <w:pPr>
        <w:pStyle w:val="6"/>
        <w:rPr>
          <w:rFonts w:hint="default" w:ascii="Times New Roman" w:hAnsi="Times New Roman" w:cs="Times New Roman" w:eastAsiaTheme="majorEastAsia"/>
          <w:b/>
          <w:sz w:val="84"/>
        </w:rPr>
      </w:pPr>
    </w:p>
    <w:p>
      <w:pPr>
        <w:pStyle w:val="6"/>
        <w:jc w:val="center"/>
        <w:outlineLvl w:val="0"/>
        <w:rPr>
          <w:rFonts w:hint="default" w:ascii="Times New Roman" w:hAnsi="Times New Roman" w:cs="Times New Roman" w:eastAsiaTheme="majorEastAsia"/>
          <w:b/>
          <w:sz w:val="36"/>
          <w:lang w:val="en-US" w:eastAsia="zh-CN"/>
        </w:rPr>
      </w:pPr>
      <w:r>
        <w:rPr>
          <w:rFonts w:hint="default" w:ascii="Times New Roman" w:hAnsi="Times New Roman" w:cs="Times New Roman" w:eastAsiaTheme="majorEastAsia"/>
          <w:b/>
          <w:sz w:val="36"/>
        </w:rPr>
        <w:t>采购编号： QJ</w:t>
      </w:r>
      <w:r>
        <w:rPr>
          <w:rFonts w:hint="default" w:ascii="Times New Roman" w:hAnsi="Times New Roman" w:cs="Times New Roman" w:eastAsiaTheme="majorEastAsia"/>
          <w:b/>
          <w:sz w:val="36"/>
          <w:lang w:val="en-US" w:eastAsia="zh-CN"/>
        </w:rPr>
        <w:t>CZ</w:t>
      </w:r>
      <w:r>
        <w:rPr>
          <w:rFonts w:hint="eastAsia" w:ascii="Times New Roman" w:hAnsi="Times New Roman" w:cs="Times New Roman" w:eastAsiaTheme="majorEastAsia"/>
          <w:b/>
          <w:sz w:val="36"/>
          <w:lang w:val="en-US" w:eastAsia="zh-CN"/>
        </w:rPr>
        <w:t>—</w:t>
      </w:r>
      <w:r>
        <w:rPr>
          <w:rFonts w:hint="default" w:ascii="Times New Roman" w:hAnsi="Times New Roman" w:cs="Times New Roman" w:eastAsiaTheme="majorEastAsia"/>
          <w:b/>
          <w:sz w:val="36"/>
          <w:lang w:val="en-US" w:eastAsia="zh-CN"/>
        </w:rPr>
        <w:t>JZXTP</w:t>
      </w:r>
      <w:r>
        <w:rPr>
          <w:rFonts w:hint="default" w:ascii="Times New Roman" w:hAnsi="Times New Roman" w:cs="Times New Roman" w:eastAsiaTheme="majorEastAsia"/>
          <w:b/>
          <w:sz w:val="36"/>
        </w:rPr>
        <w:t>20</w:t>
      </w:r>
      <w:r>
        <w:rPr>
          <w:rFonts w:hint="default" w:ascii="Times New Roman" w:hAnsi="Times New Roman" w:cs="Times New Roman" w:eastAsiaTheme="majorEastAsia"/>
          <w:b/>
          <w:sz w:val="36"/>
          <w:lang w:val="en-US" w:eastAsia="zh-CN"/>
        </w:rPr>
        <w:t>220</w:t>
      </w:r>
      <w:r>
        <w:rPr>
          <w:rFonts w:hint="eastAsia" w:ascii="Times New Roman" w:hAnsi="Times New Roman" w:cs="Times New Roman" w:eastAsiaTheme="majorEastAsia"/>
          <w:b/>
          <w:sz w:val="36"/>
          <w:lang w:val="en-US" w:eastAsia="zh-CN"/>
        </w:rPr>
        <w:t>2</w:t>
      </w:r>
    </w:p>
    <w:p>
      <w:pPr>
        <w:pStyle w:val="6"/>
        <w:jc w:val="center"/>
        <w:rPr>
          <w:rFonts w:hint="default" w:ascii="Times New Roman" w:hAnsi="Times New Roman" w:cs="Times New Roman" w:eastAsiaTheme="majorEastAsia"/>
          <w:b/>
          <w:sz w:val="44"/>
        </w:rPr>
      </w:pPr>
    </w:p>
    <w:p>
      <w:pPr>
        <w:pStyle w:val="6"/>
        <w:jc w:val="center"/>
        <w:outlineLvl w:val="0"/>
        <w:rPr>
          <w:rFonts w:hint="default" w:ascii="Times New Roman" w:hAnsi="Times New Roman" w:cs="Times New Roman" w:eastAsiaTheme="majorEastAsia"/>
          <w:b/>
          <w:bCs/>
          <w:sz w:val="44"/>
        </w:rPr>
      </w:pPr>
      <w:r>
        <w:rPr>
          <w:rFonts w:hint="default" w:ascii="Times New Roman" w:hAnsi="Times New Roman" w:cs="Times New Roman" w:eastAsiaTheme="majorEastAsia"/>
          <w:b/>
          <w:bCs/>
          <w:sz w:val="44"/>
        </w:rPr>
        <w:t>曲靖市</w:t>
      </w:r>
      <w:r>
        <w:rPr>
          <w:rFonts w:hint="default" w:ascii="Times New Roman" w:hAnsi="Times New Roman" w:cs="Times New Roman" w:eastAsiaTheme="majorEastAsia"/>
          <w:b/>
          <w:bCs/>
          <w:sz w:val="44"/>
          <w:lang w:val="en-US" w:eastAsia="zh-CN"/>
        </w:rPr>
        <w:t>财政局</w:t>
      </w:r>
      <w:r>
        <w:rPr>
          <w:rFonts w:hint="default" w:ascii="Times New Roman" w:hAnsi="Times New Roman" w:cs="Times New Roman" w:eastAsiaTheme="majorEastAsia"/>
          <w:b/>
          <w:bCs/>
          <w:sz w:val="44"/>
        </w:rPr>
        <w:t>制</w:t>
      </w:r>
    </w:p>
    <w:p>
      <w:pPr>
        <w:pStyle w:val="6"/>
        <w:jc w:val="center"/>
        <w:rPr>
          <w:rFonts w:hint="default" w:ascii="Times New Roman" w:hAnsi="Times New Roman" w:cs="Times New Roman" w:eastAsiaTheme="majorEastAsia"/>
          <w:sz w:val="44"/>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eastAsia="方正仿宋_GBK" w:cs="Times New Roman"/>
          <w:b/>
          <w:bCs w:val="0"/>
          <w:sz w:val="56"/>
          <w:szCs w:val="56"/>
        </w:rPr>
      </w:pPr>
      <w:r>
        <w:rPr>
          <w:rFonts w:hint="default" w:ascii="Times New Roman" w:hAnsi="Times New Roman" w:eastAsia="方正仿宋_GBK" w:cs="Times New Roman"/>
          <w:b/>
          <w:bCs w:val="0"/>
          <w:sz w:val="56"/>
          <w:szCs w:val="56"/>
        </w:rPr>
        <w:t>目    录</w:t>
      </w: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第一章  谈判邀请书</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第二章  谈判文件和项目要求</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lang w:val="en-US" w:eastAsia="zh-CN"/>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第三章</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Cs/>
          <w:sz w:val="32"/>
          <w:szCs w:val="32"/>
        </w:rPr>
        <w:t>须知</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lang w:val="en-US" w:eastAsia="zh-CN"/>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第四章  采购需求</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第五章  </w:t>
      </w:r>
      <w:r>
        <w:rPr>
          <w:rFonts w:hint="default" w:ascii="Times New Roman" w:hAnsi="Times New Roman" w:eastAsia="方正仿宋_GBK" w:cs="Times New Roman"/>
          <w:bCs/>
          <w:sz w:val="32"/>
          <w:szCs w:val="32"/>
          <w:lang w:eastAsia="zh-CN"/>
        </w:rPr>
        <w:t>合同</w:t>
      </w:r>
      <w:r>
        <w:rPr>
          <w:rFonts w:hint="default" w:ascii="Times New Roman" w:hAnsi="Times New Roman" w:eastAsia="方正仿宋_GBK" w:cs="Times New Roman"/>
          <w:bCs/>
          <w:color w:val="000000" w:themeColor="text1"/>
          <w:sz w:val="32"/>
          <w:szCs w:val="32"/>
          <w14:textFill>
            <w14:solidFill>
              <w14:schemeClr w14:val="tx1"/>
            </w14:solidFill>
          </w14:textFill>
        </w:rPr>
        <w:t>格</w:t>
      </w:r>
      <w:r>
        <w:rPr>
          <w:rFonts w:hint="default" w:ascii="Times New Roman" w:hAnsi="Times New Roman" w:eastAsia="方正仿宋_GBK" w:cs="Times New Roman"/>
          <w:bCs/>
          <w:sz w:val="32"/>
          <w:szCs w:val="32"/>
        </w:rPr>
        <w:t>式文本</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第六章  响应文件格式</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rPr>
          <w:rFonts w:hint="default" w:ascii="Times New Roman" w:hAnsi="Times New Roman" w:eastAsia="方正仿宋_GBK" w:cs="Times New Roman"/>
          <w:bCs/>
          <w:sz w:val="32"/>
          <w:szCs w:val="32"/>
        </w:rPr>
      </w:pPr>
    </w:p>
    <w:p>
      <w:pPr>
        <w:pStyle w:val="6"/>
        <w:rPr>
          <w:rFonts w:hint="default" w:ascii="Times New Roman" w:hAnsi="Times New Roman" w:cs="Times New Roman" w:eastAsiaTheme="majorEastAsia"/>
          <w:bCs/>
        </w:rPr>
      </w:pPr>
    </w:p>
    <w:p>
      <w:pPr>
        <w:pStyle w:val="6"/>
        <w:rPr>
          <w:rFonts w:hint="default" w:ascii="Times New Roman" w:hAnsi="Times New Roman" w:cs="Times New Roman" w:eastAsiaTheme="majorEastAsia"/>
          <w:bCs/>
        </w:rPr>
      </w:pP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Borders>
            <w:top w:val="none" w:sz="0" w:space="0"/>
            <w:left w:val="none" w:sz="0" w:space="0"/>
            <w:bottom w:val="none" w:sz="0" w:space="0"/>
            <w:right w:val="none" w:sz="0" w:space="0"/>
          </w:pgBorders>
          <w:pgNumType w:fmt="decimal" w:start="0"/>
          <w:cols w:space="720" w:num="1"/>
          <w:titlePg/>
          <w:docGrid w:linePitch="331" w:charSpace="0"/>
        </w:sect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color w:val="000000" w:themeColor="text1"/>
          <w14:textFill>
            <w14:solidFill>
              <w14:schemeClr w14:val="tx1"/>
            </w14:solidFill>
          </w14:textFill>
        </w:rPr>
      </w:pPr>
    </w:p>
    <w:p>
      <w:pPr>
        <w:pStyle w:val="6"/>
        <w:numPr>
          <w:ilvl w:val="0"/>
          <w:numId w:val="1"/>
        </w:numPr>
        <w:tabs>
          <w:tab w:val="left" w:pos="0"/>
          <w:tab w:val="clear" w:pos="4188"/>
        </w:tabs>
        <w:ind w:left="0" w:firstLine="0"/>
        <w:jc w:val="center"/>
        <w:outlineLvl w:val="0"/>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 xml:space="preserve"> 采购邀请书</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XXXX限公司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曲靖市</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财政局</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按《曲靖市财政局机关采购管理实施细则（试行）》的要求对投资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评审中心评审成果复审服务的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采购</w:t>
      </w:r>
      <w:r>
        <w:rPr>
          <w:rFonts w:hint="default" w:ascii="Times New Roman" w:hAnsi="Times New Roman" w:eastAsia="方正仿宋_GBK" w:cs="Times New Roman"/>
          <w:b w:val="0"/>
          <w:bCs/>
          <w:color w:val="000000" w:themeColor="text1"/>
          <w:sz w:val="32"/>
          <w:szCs w:val="32"/>
          <w14:textFill>
            <w14:solidFill>
              <w14:schemeClr w14:val="tx1"/>
            </w14:solidFill>
          </w14:textFill>
        </w:rPr>
        <w:t>项目进行</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竞争性谈判</w:t>
      </w:r>
      <w:r>
        <w:rPr>
          <w:rFonts w:hint="default" w:ascii="Times New Roman" w:hAnsi="Times New Roman" w:eastAsia="方正仿宋_GBK" w:cs="Times New Roman"/>
          <w:b w:val="0"/>
          <w:bCs/>
          <w:color w:val="000000" w:themeColor="text1"/>
          <w:sz w:val="32"/>
          <w:szCs w:val="32"/>
          <w14:textFill>
            <w14:solidFill>
              <w14:schemeClr w14:val="tx1"/>
            </w14:solidFill>
          </w14:textFill>
        </w:rPr>
        <w:t>采购，欢迎你公司参加。</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谈判编号：QJ</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CZ—JZXTP</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20220</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项目名称：</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曲靖市财政局投资评审中心评审成果复审服务</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14:textFill>
            <w14:solidFill>
              <w14:schemeClr w14:val="tx1"/>
            </w14:solidFill>
          </w14:textFill>
        </w:rPr>
        <w:t>项目具体要求：见第四章《</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商品</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服务</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需求一览表》</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default" w:ascii="Times New Roman" w:hAnsi="Times New Roman" w:eastAsia="方正仿宋_GBK" w:cs="Times New Roman"/>
          <w:b w:val="0"/>
          <w:bCs/>
          <w:color w:val="FF0000"/>
          <w:sz w:val="32"/>
          <w:szCs w:val="32"/>
          <w:lang w:val="en-US" w:eastAsia="zh-CN"/>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4.获取</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响应文件</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截至</w:t>
      </w:r>
      <w:r>
        <w:rPr>
          <w:rFonts w:hint="default" w:ascii="Times New Roman" w:hAnsi="Times New Roman" w:eastAsia="方正仿宋_GBK" w:cs="Times New Roman"/>
          <w:b w:val="0"/>
          <w:bCs/>
          <w:color w:val="000000" w:themeColor="text1"/>
          <w:sz w:val="32"/>
          <w:szCs w:val="32"/>
          <w14:textFill>
            <w14:solidFill>
              <w14:schemeClr w14:val="tx1"/>
            </w14:solidFill>
          </w14:textFill>
        </w:rPr>
        <w:t>时间</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auto"/>
          <w:sz w:val="32"/>
          <w:szCs w:val="32"/>
          <w:lang w:val="en-US" w:eastAsia="zh-CN"/>
        </w:rPr>
        <w:t xml:space="preserve">2022年4月14日15:00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5.接收响应文件方式：</w:t>
      </w:r>
      <w:r>
        <w:rPr>
          <w:rFonts w:hint="default" w:ascii="Times New Roman" w:hAnsi="Times New Roman" w:eastAsia="方正仿宋_GBK" w:cs="Times New Roman"/>
          <w:b w:val="0"/>
          <w:bCs w:val="0"/>
          <w:sz w:val="32"/>
          <w:szCs w:val="32"/>
          <w:lang w:eastAsia="zh-CN"/>
        </w:rPr>
        <w:t>曲靖市财政局官网</w:t>
      </w:r>
      <w:r>
        <w:rPr>
          <w:rFonts w:hint="default" w:ascii="Times New Roman" w:hAnsi="Times New Roman" w:eastAsia="方正仿宋_GBK" w:cs="Times New Roman"/>
          <w:b w:val="0"/>
          <w:bCs w:val="0"/>
          <w:sz w:val="32"/>
          <w:szCs w:val="32"/>
        </w:rPr>
        <w:t>（网址：http://czj.qj.gov.cn/）</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6.谈判开始时间：</w:t>
      </w:r>
      <w:r>
        <w:rPr>
          <w:rFonts w:hint="default" w:ascii="Times New Roman" w:hAnsi="Times New Roman" w:eastAsia="方正仿宋_GBK" w:cs="Times New Roman"/>
          <w:b w:val="0"/>
          <w:bCs/>
          <w:color w:val="auto"/>
          <w:sz w:val="32"/>
          <w:szCs w:val="32"/>
          <w:lang w:val="en-US" w:eastAsia="zh-CN"/>
        </w:rPr>
        <w:t>2022年4月14日15:00（北京时间）</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FF0000"/>
          <w:sz w:val="32"/>
          <w:szCs w:val="32"/>
          <w:lang w:val="en-US"/>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7.谈判地点</w:t>
      </w:r>
      <w:r>
        <w:rPr>
          <w:rFonts w:hint="default" w:ascii="Times New Roman" w:hAnsi="Times New Roman" w:eastAsia="方正仿宋_GBK" w:cs="Times New Roman"/>
          <w:b w:val="0"/>
          <w:bCs/>
          <w:color w:val="000000" w:themeColor="text1"/>
          <w:sz w:val="32"/>
          <w:szCs w:val="32"/>
          <w14:textFill>
            <w14:solidFill>
              <w14:schemeClr w14:val="tx1"/>
            </w14:solidFill>
          </w14:textFill>
        </w:rPr>
        <w:t>：曲靖市</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财政局 办公楼四楼会议室</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b w:val="0"/>
          <w:bCs/>
          <w:color w:val="000000" w:themeColor="text1"/>
          <w:sz w:val="32"/>
          <w:szCs w:val="32"/>
          <w14:textFill>
            <w14:solidFill>
              <w14:schemeClr w14:val="tx1"/>
            </w14:solidFill>
          </w14:textFill>
        </w:rPr>
        <w:t>详细地址：曲靖市</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麒麟南路253号</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sz w:val="32"/>
          <w:szCs w:val="32"/>
          <w14:textFill>
            <w14:solidFill>
              <w14:schemeClr w14:val="tx1"/>
            </w14:solidFill>
          </w14:textFill>
        </w:rPr>
        <w:t>电话：</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xml:space="preserve">0874—3116393  </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报名方式</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网上报名或现场报名410办公室（局机关财务室）</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仿宋_GBK" w:cs="Times New Roman"/>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　　　　　　　　　　　　曲靖市财政局</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p>
    <w:p>
      <w:pPr>
        <w:pStyle w:val="6"/>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right"/>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2022年4月 2日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val="0"/>
          <w:bCs/>
          <w:color w:val="000000" w:themeColor="text1"/>
          <w:kern w:val="2"/>
          <w:sz w:val="32"/>
          <w:szCs w:val="32"/>
          <w:lang w:val="en-US" w:eastAsia="zh-CN" w:bidi="ar-SA"/>
          <w14:textFill>
            <w14:solidFill>
              <w14:schemeClr w14:val="tx1"/>
            </w14:solidFill>
          </w14:textFill>
        </w:rPr>
        <w:t xml:space="preserve">     </w:t>
      </w:r>
      <w:r>
        <w:rPr>
          <w:rFonts w:hint="eastAsia" w:ascii="方正仿宋简体" w:hAnsi="方正仿宋简体" w:eastAsia="方正仿宋简体" w:cs="方正仿宋简体"/>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right="278" w:firstLine="1320" w:firstLineChars="30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p>
    <w:p>
      <w:pPr>
        <w:pStyle w:val="6"/>
        <w:ind w:right="280" w:firstLine="1320" w:firstLineChars="300"/>
        <w:jc w:val="center"/>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第二章  谈判</w:t>
      </w:r>
      <w:bookmarkStart w:id="0" w:name="_GoBack"/>
      <w:bookmarkEnd w:id="0"/>
      <w:r>
        <w:rPr>
          <w:rFonts w:hint="default" w:ascii="Times New Roman" w:hAnsi="Times New Roman" w:eastAsia="方正小标宋_GBK" w:cs="Times New Roman"/>
          <w:b w:val="0"/>
          <w:bCs/>
          <w:color w:val="000000" w:themeColor="text1"/>
          <w:sz w:val="44"/>
          <w:szCs w:val="44"/>
          <w14:textFill>
            <w14:solidFill>
              <w14:schemeClr w14:val="tx1"/>
            </w14:solidFill>
          </w14:textFill>
        </w:rPr>
        <w:t>文件和项目要求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黑体_GBK" w:cs="Times New Roman"/>
          <w:b w:val="0"/>
          <w:bCs/>
          <w:color w:val="000000" w:themeColor="text1"/>
          <w:sz w:val="32"/>
          <w:szCs w:val="32"/>
          <w14:textFill>
            <w14:solidFill>
              <w14:schemeClr w14:val="tx1"/>
            </w14:solidFill>
          </w14:textFill>
        </w:rPr>
        <w:t>一、谈判文件说明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14:textFill>
            <w14:solidFill>
              <w14:schemeClr w14:val="tx1"/>
            </w14:solidFill>
          </w14:textFill>
        </w:rPr>
        <w:t>适用范围：本谈判文件仅适用于本次谈判采购。</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谈判文件的构成：本谈判文件由第一至五章构成。</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方正黑体_GBK" w:cs="Times New Roman"/>
          <w:b w:val="0"/>
          <w:bCs/>
          <w:color w:val="000000" w:themeColor="text1"/>
          <w:sz w:val="32"/>
          <w:szCs w:val="32"/>
          <w14:textFill>
            <w14:solidFill>
              <w14:schemeClr w14:val="tx1"/>
            </w14:solidFill>
          </w14:textFill>
        </w:rPr>
      </w:pPr>
      <w:r>
        <w:rPr>
          <w:rFonts w:hint="default" w:ascii="Times New Roman" w:hAnsi="Times New Roman" w:eastAsia="方正黑体_GBK" w:cs="Times New Roman"/>
          <w:b w:val="0"/>
          <w:bCs/>
          <w:color w:val="000000" w:themeColor="text1"/>
          <w:sz w:val="32"/>
          <w:szCs w:val="32"/>
          <w14:textFill>
            <w14:solidFill>
              <w14:schemeClr w14:val="tx1"/>
            </w14:solidFill>
          </w14:textFill>
        </w:rPr>
        <w:t>二、谈判项目要求</w:t>
      </w:r>
    </w:p>
    <w:p>
      <w:pPr>
        <w:pStyle w:val="6"/>
        <w:ind w:left="959" w:leftChars="228" w:hanging="480" w:hangingChars="150"/>
        <w:jc w:val="left"/>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1.采购人及采购预算</w:t>
      </w:r>
    </w:p>
    <w:tbl>
      <w:tblPr>
        <w:tblStyle w:val="11"/>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75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8" w:type="dxa"/>
            <w:noWrap w:val="0"/>
            <w:vAlign w:val="center"/>
          </w:tcPr>
          <w:p>
            <w:pPr>
              <w:pStyle w:val="6"/>
              <w:ind w:left="164" w:leftChars="78"/>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项</w:t>
            </w:r>
          </w:p>
        </w:tc>
        <w:tc>
          <w:tcPr>
            <w:tcW w:w="3750" w:type="dxa"/>
            <w:noWrap w:val="0"/>
            <w:vAlign w:val="center"/>
          </w:tcPr>
          <w:p>
            <w:pPr>
              <w:pStyle w:val="6"/>
              <w:jc w:val="center"/>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w:t>
            </w:r>
          </w:p>
        </w:tc>
        <w:tc>
          <w:tcPr>
            <w:tcW w:w="4261" w:type="dxa"/>
            <w:noWrap w:val="0"/>
            <w:vAlign w:val="center"/>
          </w:tcPr>
          <w:p>
            <w:pPr>
              <w:pStyle w:val="6"/>
              <w:jc w:val="center"/>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038" w:type="dxa"/>
            <w:noWrap w:val="0"/>
            <w:vAlign w:val="center"/>
          </w:tcPr>
          <w:p>
            <w:pPr>
              <w:pStyle w:val="6"/>
              <w:jc w:val="center"/>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D1</w:t>
            </w:r>
          </w:p>
        </w:tc>
        <w:tc>
          <w:tcPr>
            <w:tcW w:w="3750" w:type="dxa"/>
            <w:noWrap w:val="0"/>
            <w:vAlign w:val="center"/>
          </w:tcPr>
          <w:p>
            <w:pPr>
              <w:jc w:val="center"/>
              <w:outlineLvl w:val="0"/>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曲靖市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财政局</w:t>
            </w:r>
          </w:p>
        </w:tc>
        <w:tc>
          <w:tcPr>
            <w:tcW w:w="4261" w:type="dxa"/>
            <w:noWrap w:val="0"/>
            <w:vAlign w:val="center"/>
          </w:tcPr>
          <w:p>
            <w:pPr>
              <w:widowControl/>
              <w:jc w:val="center"/>
              <w:textAlignment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300000</w:t>
            </w:r>
          </w:p>
        </w:tc>
      </w:tr>
    </w:tbl>
    <w:p>
      <w:pPr>
        <w:ind w:firstLine="480" w:firstLineChars="150"/>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谈判人资格要求：</w:t>
      </w:r>
    </w:p>
    <w:p>
      <w:pPr>
        <w:ind w:firstLine="480" w:firstLineChars="150"/>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谈判人应具备《中华人民共和国政府采购法》第二十二条规定的条件；</w:t>
      </w:r>
    </w:p>
    <w:p>
      <w:pPr>
        <w:ind w:firstLine="480" w:firstLineChars="150"/>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方</w:t>
      </w:r>
      <w:r>
        <w:rPr>
          <w:rFonts w:hint="default" w:ascii="Times New Roman" w:hAnsi="Times New Roman" w:eastAsia="方正仿宋_GBK" w:cs="Times New Roman"/>
          <w:color w:val="000000" w:themeColor="text1"/>
          <w:sz w:val="32"/>
          <w:szCs w:val="32"/>
          <w14:textFill>
            <w14:solidFill>
              <w14:schemeClr w14:val="tx1"/>
            </w14:solidFill>
          </w14:textFill>
        </w:rPr>
        <w:t>参加政府采购活动应当具备下列条件：</w:t>
      </w:r>
    </w:p>
    <w:p>
      <w:pPr>
        <w:ind w:firstLine="640" w:firstLineChars="20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①具有独立承担民事责任的能力；</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default" w:ascii="Times New Roman" w:hAnsi="Times New Roman" w:eastAsia="方正仿宋_GBK" w:cs="Times New Roman"/>
          <w:color w:val="000000" w:themeColor="text1"/>
          <w:sz w:val="32"/>
          <w:szCs w:val="32"/>
          <w14:textFill>
            <w14:solidFill>
              <w14:schemeClr w14:val="tx1"/>
            </w14:solidFill>
          </w14:textFill>
        </w:rPr>
        <w:t xml:space="preserve">    ②具有良好的商业信誉和健全的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工程造价</w:t>
      </w:r>
      <w:r>
        <w:rPr>
          <w:rFonts w:hint="default" w:ascii="Times New Roman" w:hAnsi="Times New Roman" w:eastAsia="宋体" w:cs="Times New Roman"/>
          <w:color w:val="000000" w:themeColor="text1"/>
          <w:sz w:val="32"/>
          <w:szCs w:val="32"/>
          <w:lang w:eastAsia="zh-CN"/>
          <w14:textFill>
            <w14:solidFill>
              <w14:schemeClr w14:val="tx1"/>
            </w14:solidFill>
          </w14:textFill>
        </w:rPr>
        <w:t>咨询</w:t>
      </w:r>
      <w:r>
        <w:rPr>
          <w:rFonts w:hint="default" w:ascii="Times New Roman" w:hAnsi="Times New Roman" w:eastAsia="方正仿宋_GBK" w:cs="Times New Roman"/>
          <w:color w:val="000000" w:themeColor="text1"/>
          <w:sz w:val="32"/>
          <w:szCs w:val="32"/>
          <w14:textFill>
            <w14:solidFill>
              <w14:schemeClr w14:val="tx1"/>
            </w14:solidFill>
          </w14:textFill>
        </w:rPr>
        <w:t>制度；</w:t>
      </w:r>
    </w:p>
    <w:p>
      <w:pPr>
        <w:ind w:firstLine="640" w:firstLineChars="20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③具有履行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所必需的设备和专业技术能力；</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default" w:ascii="Times New Roman" w:hAnsi="Times New Roman" w:eastAsia="方正仿宋_GBK" w:cs="Times New Roman"/>
          <w:color w:val="000000" w:themeColor="text1"/>
          <w:sz w:val="32"/>
          <w:szCs w:val="32"/>
          <w14:textFill>
            <w14:solidFill>
              <w14:schemeClr w14:val="tx1"/>
            </w14:solidFill>
          </w14:textFill>
        </w:rPr>
        <w:t xml:space="preserve">    ④有依法缴纳税收和社会保障资金的良好记录；</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default" w:ascii="Times New Roman" w:hAnsi="Times New Roman" w:eastAsia="方正仿宋_GBK" w:cs="Times New Roman"/>
          <w:color w:val="000000" w:themeColor="text1"/>
          <w:sz w:val="32"/>
          <w:szCs w:val="32"/>
          <w14:textFill>
            <w14:solidFill>
              <w14:schemeClr w14:val="tx1"/>
            </w14:solidFill>
          </w14:textFill>
        </w:rPr>
        <w:t xml:space="preserve">    ⑤参加政府采购活动前三年内，在经营活动中没有重大违法记录；</w:t>
      </w:r>
    </w:p>
    <w:p>
      <w:pPr>
        <w:ind w:firstLine="640" w:firstLineChars="20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⑥法律、行政法规规定的其他条件。</w:t>
      </w:r>
    </w:p>
    <w:p>
      <w:pPr>
        <w:pStyle w:val="6"/>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必须对第四章所列</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w:t>
      </w:r>
      <w:r>
        <w:rPr>
          <w:rFonts w:hint="default" w:ascii="Times New Roman" w:hAnsi="Times New Roman" w:eastAsia="方正仿宋_GBK" w:cs="Times New Roman"/>
          <w:color w:val="000000" w:themeColor="text1"/>
          <w:sz w:val="32"/>
          <w:szCs w:val="32"/>
          <w14:textFill>
            <w14:solidFill>
              <w14:schemeClr w14:val="tx1"/>
            </w14:solidFill>
          </w14:textFill>
        </w:rPr>
        <w:t>项目包含的内容进行完整响应,否则响应文件将被拒绝。</w:t>
      </w:r>
    </w:p>
    <w:p>
      <w:pPr>
        <w:pStyle w:val="6"/>
        <w:ind w:firstLine="480" w:firstLineChars="15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本项目不接受联合体响应。</w:t>
      </w: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eastAsiaTheme="majorEastAsia"/>
          <w:b/>
          <w:sz w:val="28"/>
          <w:szCs w:val="28"/>
        </w:rPr>
      </w:pPr>
    </w:p>
    <w:p>
      <w:pPr>
        <w:pStyle w:val="6"/>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 xml:space="preserve">第三章  </w:t>
      </w:r>
      <w:r>
        <w:rPr>
          <w:rFonts w:hint="default" w:ascii="Times New Roman" w:hAnsi="Times New Roman" w:eastAsia="方正小标宋_GBK" w:cs="Times New Roman"/>
          <w:b w:val="0"/>
          <w:bCs/>
          <w:color w:val="000000" w:themeColor="text1"/>
          <w:kern w:val="2"/>
          <w:sz w:val="44"/>
          <w:szCs w:val="44"/>
          <w:lang w:val="en-US" w:eastAsia="zh-CN" w:bidi="ar-SA"/>
          <w14:textFill>
            <w14:solidFill>
              <w14:schemeClr w14:val="tx1"/>
            </w14:solidFill>
          </w14:textFill>
        </w:rPr>
        <w:t>供应方</w:t>
      </w:r>
      <w:r>
        <w:rPr>
          <w:rFonts w:hint="default" w:ascii="Times New Roman" w:hAnsi="Times New Roman" w:eastAsia="方正小标宋_GBK" w:cs="Times New Roman"/>
          <w:b w:val="0"/>
          <w:bCs/>
          <w:sz w:val="44"/>
          <w:szCs w:val="44"/>
        </w:rPr>
        <w:t>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一、响应文件的编制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谈判人应详细阅读谈判文件的全部内容，按谈判文件的要求提供响应文件，并保证所提供全部资料的真实性，以使其对谈判文件做出实质性响应，否则，其谈判将被拒绝。</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响应文件的语言和度量衡单位</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响应文件包括报价表中</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项目的内容、范围、标准、技术、质量保障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以及谈判人与采购交易科就有关投标的所有来往函电均使用中文；</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用非中文版印刷的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说明书，投标人应附以中文译文；</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响应文件中所使用的度量衡单位，除谈判文件中做出要求外，一律用法定计量单位；</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响应文件中所报</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的价格必须为人民币。</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响应文件的构成</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谈判报价；</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服务内容及标准</w:t>
      </w:r>
      <w:r>
        <w:rPr>
          <w:rFonts w:hint="default" w:ascii="Times New Roman" w:hAnsi="Times New Roman" w:eastAsia="方正仿宋_GBK" w:cs="Times New Roman"/>
          <w:b w:val="0"/>
          <w:bCs/>
          <w:sz w:val="32"/>
          <w:szCs w:val="32"/>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w:t>
      </w:r>
      <w:r>
        <w:rPr>
          <w:rFonts w:hint="default" w:ascii="Times New Roman" w:hAnsi="Times New Roman" w:eastAsia="方正仿宋_GBK" w:cs="Times New Roman"/>
          <w:b w:val="0"/>
          <w:bCs/>
          <w:sz w:val="32"/>
          <w:szCs w:val="32"/>
        </w:rPr>
        <w:t>应说明；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sz w:val="32"/>
          <w:szCs w:val="32"/>
        </w:rPr>
        <w:t>资格及资信证明文件。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谈判报价</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shd w:val="pct10" w:color="auto" w:fill="FFFFFF"/>
          <w:lang w:val="en-US"/>
          <w14:textFill>
            <w14:solidFill>
              <w14:schemeClr w14:val="tx1"/>
            </w14:solidFill>
          </w14:textFill>
        </w:rPr>
      </w:pPr>
      <w:r>
        <w:rPr>
          <w:rFonts w:hint="default" w:ascii="Times New Roman" w:hAnsi="Times New Roman" w:eastAsia="方正仿宋_GBK" w:cs="Times New Roman"/>
          <w:b w:val="0"/>
          <w:bCs/>
          <w:sz w:val="32"/>
          <w:szCs w:val="32"/>
        </w:rPr>
        <w:t>谈判人在所提供的谈判报价表上标明的</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sz w:val="32"/>
          <w:szCs w:val="32"/>
        </w:rPr>
        <w:t>总价为</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固定费用</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和奖励费用。</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资格和资信证明及</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谈判人应提交证明其有资格进行谈判和有能力履行</w:t>
      </w:r>
      <w:r>
        <w:rPr>
          <w:rFonts w:hint="default" w:ascii="Times New Roman" w:hAnsi="Times New Roman" w:eastAsia="方正仿宋_GBK" w:cs="Times New Roman"/>
          <w:b w:val="0"/>
          <w:bCs/>
          <w:sz w:val="32"/>
          <w:szCs w:val="32"/>
          <w:lang w:eastAsia="zh-CN"/>
        </w:rPr>
        <w:t>合同</w:t>
      </w:r>
      <w:r>
        <w:rPr>
          <w:rFonts w:hint="default" w:ascii="Times New Roman" w:hAnsi="Times New Roman" w:eastAsia="方正仿宋_GBK" w:cs="Times New Roman"/>
          <w:b w:val="0"/>
          <w:bCs/>
          <w:sz w:val="32"/>
          <w:szCs w:val="32"/>
        </w:rPr>
        <w:t>的文件，作为响应文件的一部分：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谈判人须提供以下材料作为响应文件的一部分：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法人或者其他组织的营业执照等证明文件，自然人的身份证明（谈判人的生产经营资格证明（复印件加盖公章）；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具备履行</w:t>
      </w:r>
      <w:r>
        <w:rPr>
          <w:rFonts w:hint="default" w:ascii="Times New Roman" w:hAnsi="Times New Roman" w:eastAsia="方正仿宋_GBK" w:cs="Times New Roman"/>
          <w:b w:val="0"/>
          <w:bCs/>
          <w:sz w:val="32"/>
          <w:szCs w:val="32"/>
          <w:lang w:eastAsia="zh-CN"/>
        </w:rPr>
        <w:t>合同</w:t>
      </w:r>
      <w:r>
        <w:rPr>
          <w:rFonts w:hint="default" w:ascii="Times New Roman" w:hAnsi="Times New Roman" w:eastAsia="方正仿宋_GBK" w:cs="Times New Roman"/>
          <w:b w:val="0"/>
          <w:bCs/>
          <w:sz w:val="32"/>
          <w:szCs w:val="32"/>
        </w:rPr>
        <w:t>所必需的设备和专业技术能力的证明材料</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证明谈判服务项目符合采购文件要求的证明；服务技术能力及质量保障能力的证明材料，包括负责服务项目始终的硬件设备和软件系统及专业技术人员名单（人员名单应注明职务、职称及资格证书的复印件等），服务网点的分布等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具备法律、行政法规规定的其他条件的证明材料</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采购项目有特殊要求的，</w:t>
      </w:r>
      <w:r>
        <w:rPr>
          <w:rFonts w:hint="default" w:ascii="Times New Roman" w:hAnsi="Times New Roman" w:eastAsia="方正仿宋_GBK" w:cs="Times New Roman"/>
          <w:b w:val="0"/>
          <w:bCs/>
          <w:sz w:val="32"/>
          <w:szCs w:val="32"/>
          <w:lang w:val="en-US" w:eastAsia="zh-CN"/>
        </w:rPr>
        <w:t>供应方</w:t>
      </w:r>
      <w:r>
        <w:rPr>
          <w:rFonts w:hint="default" w:ascii="Times New Roman" w:hAnsi="Times New Roman" w:eastAsia="方正仿宋_GBK" w:cs="Times New Roman"/>
          <w:b w:val="0"/>
          <w:bCs/>
          <w:sz w:val="32"/>
          <w:szCs w:val="32"/>
        </w:rPr>
        <w:t>还应当提供其符合特殊要求的证明材料或者情况说明</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法定代表人资格证明（原件），谈判代表本人身份证（原件），法人代表授权参与谈判的，委托代理人还必须出具法人亲笔签署的授权委托书</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8</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商品（服务）需求一览表及谈判报价表中要求提供的资格证明文件。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响应文件的签署规定</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响应文件的所有组成资料均应遵守签署规定</w:t>
      </w:r>
      <w:r>
        <w:rPr>
          <w:rFonts w:hint="default" w:ascii="Times New Roman" w:hAnsi="Times New Roman" w:eastAsia="方正仿宋_GBK" w:cs="Times New Roman"/>
          <w:b w:val="0"/>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二、响应文件的递交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文件必须在招标文件规定的地点和截止时间前</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因故需延迟报价截止时间将</w:t>
      </w:r>
      <w:r>
        <w:rPr>
          <w:rFonts w:hint="default" w:ascii="Times New Roman" w:hAnsi="Times New Roman" w:eastAsia="方正仿宋_GBK" w:cs="Times New Roman"/>
          <w:b w:val="0"/>
          <w:bCs/>
          <w:sz w:val="32"/>
          <w:szCs w:val="32"/>
          <w:lang w:val="en-US" w:eastAsia="zh-CN"/>
        </w:rPr>
        <w:t>电话通知</w:t>
      </w:r>
      <w:r>
        <w:rPr>
          <w:rFonts w:hint="default" w:ascii="Times New Roman" w:hAnsi="Times New Roman" w:eastAsia="方正仿宋_GBK" w:cs="Times New Roman"/>
          <w:b w:val="0"/>
          <w:bCs/>
          <w:sz w:val="32"/>
          <w:szCs w:val="32"/>
        </w:rPr>
        <w:t>变更；</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）在规定的截止时间后</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的</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文件，将拒绝接受。</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三、谈判的程序</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谈判的步骤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采购交易科按谈判邀请书中规定的时间和地点进行，参加谈判的公司代表应签名报到以证明其已参与；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递交响应文件；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须持本人身份证（原件）、法定代表人资格证明（原件）、法定代表人亲笔签署的授权委托书（原件）进行资格审查，并检查响应文件及补充文件的密封和标记以及采购方认为合适的其他内容，确认无误后宣读名称并</w:t>
      </w:r>
      <w:r>
        <w:rPr>
          <w:rFonts w:hint="default" w:ascii="Times New Roman" w:hAnsi="Times New Roman" w:eastAsia="方正仿宋_GBK" w:cs="Times New Roman"/>
          <w:b w:val="0"/>
          <w:bCs/>
          <w:sz w:val="32"/>
          <w:szCs w:val="32"/>
          <w:lang w:val="en-US" w:eastAsia="zh-CN"/>
        </w:rPr>
        <w:t>解锁响应文件</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开始与谈判小组进行谈判；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在具体谈判时，第一轮只许作</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服务项目内容、范围、标准、质量、技术、特色、保障方面的</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谈判，第二轮</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作</w:t>
      </w:r>
      <w:r>
        <w:rPr>
          <w:rFonts w:hint="default" w:ascii="Times New Roman" w:hAnsi="Times New Roman" w:eastAsia="方正仿宋_GBK" w:cs="Times New Roman"/>
          <w:b w:val="0"/>
          <w:bCs/>
          <w:color w:val="000000" w:themeColor="text1"/>
          <w:sz w:val="32"/>
          <w:szCs w:val="32"/>
          <w14:textFill>
            <w14:solidFill>
              <w14:schemeClr w14:val="tx1"/>
            </w14:solidFill>
          </w14:textFill>
        </w:rPr>
        <w:t>进一步谈判和报价，第三轮，谈判确定最终报价，谈判小组根据其方案及报价等确定是否成交。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谈判文件的澄清</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在谈判期间，</w:t>
      </w:r>
      <w:r>
        <w:rPr>
          <w:rFonts w:hint="default" w:ascii="Times New Roman" w:hAnsi="Times New Roman" w:eastAsia="方正仿宋_GBK" w:cs="Times New Roman"/>
          <w:b w:val="0"/>
          <w:bCs/>
          <w:sz w:val="32"/>
          <w:szCs w:val="32"/>
          <w:lang w:val="en-US" w:eastAsia="zh-CN"/>
        </w:rPr>
        <w:t>采购</w:t>
      </w:r>
      <w:r>
        <w:rPr>
          <w:rFonts w:hint="default" w:ascii="Times New Roman" w:hAnsi="Times New Roman" w:eastAsia="方正仿宋_GBK" w:cs="Times New Roman"/>
          <w:b w:val="0"/>
          <w:bCs/>
          <w:sz w:val="32"/>
          <w:szCs w:val="32"/>
        </w:rPr>
        <w:t>人可随时要求</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供应方</w:t>
      </w:r>
      <w:r>
        <w:rPr>
          <w:rFonts w:hint="default" w:ascii="Times New Roman" w:hAnsi="Times New Roman" w:eastAsia="方正仿宋_GBK" w:cs="Times New Roman"/>
          <w:b w:val="0"/>
          <w:bCs/>
          <w:sz w:val="32"/>
          <w:szCs w:val="32"/>
        </w:rPr>
        <w:t>对其响应文件进行澄清，有关澄清的要求和答复应以书面形式提交。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谈判成交原则</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将根据本次项目要求组建</w:t>
      </w:r>
      <w:r>
        <w:rPr>
          <w:rFonts w:hint="default"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谈判小组。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谈判成交原则：公正、公平、科学、规范、合法。</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成交标准：</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A.</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价格；</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B.</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服务质量（能够公平、公正按照工程基本建设程序完成复审工作）</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C.</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谈判方案；</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D.</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资信及</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能力</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E.</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评审项目结算复审</w:t>
      </w:r>
      <w:r>
        <w:rPr>
          <w:rFonts w:hint="default" w:ascii="Times New Roman" w:hAnsi="Times New Roman" w:eastAsia="方正仿宋_GBK" w:cs="Times New Roman"/>
          <w:b w:val="0"/>
          <w:bCs/>
          <w:color w:val="000000" w:themeColor="text1"/>
          <w:sz w:val="32"/>
          <w:szCs w:val="32"/>
          <w14:textFill>
            <w14:solidFill>
              <w14:schemeClr w14:val="tx1"/>
            </w14:solidFill>
          </w14:textFill>
        </w:rPr>
        <w:t>服务。</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谈判成交程序：</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首先，对响应文件进行符合性、商务响应性审查。响应文件应实质上响应本文件的所有条款、条件，无显著的差异或保留。</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其次，对响应文件进行商务性评估：包括报价校核，审查全部报价数据计算的正确性，分析报价构成的合理性。</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具体评比的内容包括：</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资质资信、价格、服务内容及服务能力、谈判方案、服务质量保障。</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lang w:val="en-US" w:eastAsia="zh-CN"/>
        </w:rPr>
        <w:t>谈判小组如发现谈判人及其谈判响应文件存在下列情况之一的，其谈判响应文件将不列入评审范围：</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a.无单位盖章并无法定代表人或法定代表人授权的代理人签字或盖章的；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b.竞争性谈判文件要求提供的资格证明文件不全的；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c.谈判项目不完整的；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d.未满足项目需求和服务质量保障；</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e.以联合体方式参与谈判未附联合体各方共同合同的；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f.谈判人名称或组织机构与资格预审时不一致且未提供有效证明的；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g.无法按规定按时按质按量完成服务项目；</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h.谈判报价超出采购预算价的；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kern w:val="2"/>
          <w:sz w:val="32"/>
          <w:szCs w:val="32"/>
          <w:lang w:val="en-US" w:eastAsia="zh-CN" w:bidi="ar-SA"/>
        </w:rPr>
        <w:t>i.谈判文件明确规定的其他情形。</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bCs w:val="0"/>
          <w:sz w:val="32"/>
          <w:szCs w:val="32"/>
          <w:lang w:eastAsia="zh-CN"/>
        </w:rPr>
      </w:pPr>
      <w:r>
        <w:rPr>
          <w:rFonts w:hint="default" w:ascii="Times New Roman" w:hAnsi="Times New Roman" w:eastAsia="方正黑体_GBK" w:cs="Times New Roman"/>
          <w:b w:val="0"/>
          <w:bCs/>
          <w:sz w:val="32"/>
          <w:szCs w:val="32"/>
        </w:rPr>
        <w:t>四、授予</w:t>
      </w:r>
      <w:r>
        <w:rPr>
          <w:rFonts w:hint="default" w:ascii="Times New Roman" w:hAnsi="Times New Roman" w:eastAsia="方正黑体_GBK" w:cs="Times New Roman"/>
          <w:b/>
          <w:bCs w:val="0"/>
          <w:sz w:val="32"/>
          <w:szCs w:val="32"/>
          <w:lang w:eastAsia="zh-CN"/>
        </w:rPr>
        <w:t>合同</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成交通知书</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谈判成交后将由</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采购</w:t>
      </w:r>
      <w:r>
        <w:rPr>
          <w:rFonts w:hint="default" w:ascii="Times New Roman" w:hAnsi="Times New Roman" w:eastAsia="方正仿宋_GBK" w:cs="Times New Roman"/>
          <w:b w:val="0"/>
          <w:bCs/>
          <w:sz w:val="32"/>
          <w:szCs w:val="32"/>
          <w:lang w:val="en-US" w:eastAsia="zh-CN"/>
        </w:rPr>
        <w:t>小组</w:t>
      </w:r>
      <w:r>
        <w:rPr>
          <w:rFonts w:hint="default" w:ascii="Times New Roman" w:hAnsi="Times New Roman" w:eastAsia="方正仿宋_GBK" w:cs="Times New Roman"/>
          <w:b w:val="0"/>
          <w:bCs/>
          <w:sz w:val="32"/>
          <w:szCs w:val="32"/>
        </w:rPr>
        <w:t>根据谈判结果</w:t>
      </w:r>
      <w:r>
        <w:rPr>
          <w:rFonts w:hint="default" w:ascii="Times New Roman" w:hAnsi="Times New Roman" w:eastAsia="方正仿宋_GBK" w:cs="Times New Roman"/>
          <w:b w:val="0"/>
          <w:bCs/>
          <w:sz w:val="32"/>
          <w:szCs w:val="32"/>
          <w:lang w:val="en-US" w:eastAsia="zh-CN"/>
        </w:rPr>
        <w:t>报局采购领导小组审定后</w:t>
      </w:r>
      <w:r>
        <w:rPr>
          <w:rFonts w:hint="default" w:ascii="Times New Roman" w:hAnsi="Times New Roman" w:eastAsia="方正仿宋_GBK" w:cs="Times New Roman"/>
          <w:b w:val="0"/>
          <w:bCs/>
          <w:sz w:val="32"/>
          <w:szCs w:val="32"/>
        </w:rPr>
        <w:t>签发《成交通知书》，据此签订《</w:t>
      </w:r>
      <w:r>
        <w:rPr>
          <w:rFonts w:hint="default" w:ascii="Times New Roman" w:hAnsi="Times New Roman" w:eastAsia="方正仿宋_GBK" w:cs="Times New Roman"/>
          <w:b w:val="0"/>
          <w:bCs/>
          <w:sz w:val="32"/>
          <w:szCs w:val="32"/>
          <w:lang w:eastAsia="zh-CN"/>
        </w:rPr>
        <w:t>委托服务合同</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签订</w:t>
      </w:r>
      <w:r>
        <w:rPr>
          <w:rFonts w:hint="default" w:ascii="Times New Roman" w:hAnsi="Times New Roman" w:eastAsia="方正仿宋_GBK" w:cs="Times New Roman"/>
          <w:b w:val="0"/>
          <w:bCs/>
          <w:sz w:val="32"/>
          <w:szCs w:val="32"/>
          <w:lang w:eastAsia="zh-CN"/>
        </w:rPr>
        <w:t>服务合同</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sz w:val="32"/>
          <w:szCs w:val="32"/>
        </w:rPr>
        <w:t>在《成交通知书》发出后30日内按《成交通知书》规定与采购</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单位</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响应文件及其补充文件、澄清，均为</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内容的依据。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验收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由主管科室与局招采小组检查成果符合曲靖市财政局相关工作要求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付款条件   </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所载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购买</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服务项目目标、质量达标或超标，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验收合格后，</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政府采购管理科按局机关管理规定办理资金支付手续，局办公室</w:t>
      </w:r>
      <w:r>
        <w:rPr>
          <w:rFonts w:hint="default" w:ascii="Times New Roman" w:hAnsi="Times New Roman" w:eastAsia="方正仿宋_GBK" w:cs="Times New Roman"/>
          <w:b w:val="0"/>
          <w:bCs/>
          <w:color w:val="000000" w:themeColor="text1"/>
          <w:sz w:val="32"/>
          <w:szCs w:val="32"/>
          <w14:textFill>
            <w14:solidFill>
              <w14:schemeClr w14:val="tx1"/>
            </w14:solidFill>
          </w14:textFill>
        </w:rPr>
        <w:t>按</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约定支付</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款项</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法律责任</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签订后，当事人必须全面履行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规定的义务，保证</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顺利执行。成交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不得向他人转让成交项目，也不得将项目分解后向他人转让。履行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过程中出现纠纷的，按《中华人民共和国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民法典</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》规定处理。</w:t>
      </w:r>
    </w:p>
    <w:p>
      <w:pPr>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10"/>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pStyle w:val="2"/>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pStyle w:val="2"/>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pStyle w:val="6"/>
        <w:numPr>
          <w:ilvl w:val="0"/>
          <w:numId w:val="3"/>
        </w:numPr>
        <w:spacing w:line="500" w:lineRule="exact"/>
        <w:jc w:val="center"/>
        <w:rPr>
          <w:rFonts w:hint="default" w:ascii="Times New Roman" w:hAnsi="Times New Roman" w:eastAsia="方正小标宋_GBK" w:cs="Times New Roman"/>
          <w:b w:val="0"/>
          <w:bCs/>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b w:val="0"/>
          <w:bCs/>
          <w:color w:val="000000" w:themeColor="text1"/>
          <w:kern w:val="0"/>
          <w:sz w:val="44"/>
          <w:szCs w:val="44"/>
          <w:lang w:val="en-US" w:eastAsia="zh-CN" w:bidi="ar"/>
          <w14:textFill>
            <w14:solidFill>
              <w14:schemeClr w14:val="tx1"/>
            </w14:solidFill>
          </w14:textFill>
        </w:rPr>
        <w:t>采购需求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采购项目：投资评审中心评审成果复审服务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　　二、项目具体内容</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对政府性投资项目评审成果进行复审。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　　三、项目服务要求和目标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1.被委托方（造价</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咨询公司</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）熟悉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《基本建设财务规则》（财政部令第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81号）、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财政部《财政投资评审管理规定》（财建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2009</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648号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《曲靖市人民政府办公室关于加强财政性资金投资建设项目预算和决算财政评审的通知》（曲政办发[2013]78号）和《曲靖市财政投资评审管理暂行办法》（曲靖市人民政府公告第28号）等的要求和相关政策规定；</w:t>
      </w:r>
    </w:p>
    <w:p>
      <w:pPr>
        <w:pStyle w:val="10"/>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2.被委托方参与过审计或财政评审复审工作。</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四、成果验收及交付</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1.成果提交期限:被委托方按照与委托方签订的委托代理服务合同相关要求完成评审成果复审工作，并出具核查报告；</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2.成果提交地点:曲靖市财政局;</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3.成果提交形式:纸质版报告;</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4.质量、服务要求:被委托方按时按质完成复审工作。复审成果符合法律、法规、行业政策以及工程基本建设有关规定，报告真实、完整，满足甲方需求，复审报告表述清楚、内容完整、依据充分、附件齐全、相应的签字盖章完备。</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复审质量要求: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①内容完整。复审报告所披露的事项应当全面、完整。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②客观公正。复审报告应客观公正，复审报告所引用的数据应当来源可靠，所作出的判断和结论应当基于客观事实。报告的各部分内容均有足够的依据，复审内容有工作底稿和相关工作记录。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③表达清晰。复审报告整体框架应当结构合理、条理清晰、逻辑严密，应当清晰、准确地陈述复审报告内容，不得使用误导性的表述。使用的语言不带有偏见或暗示，避免使用可能引起抵触情绪的语言。提出的建议应当与所存在的问题做到前后呼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④语言简明扼要。检查报告应当文字简练、篇幅适中、版面简洁。复审报告所用语言和所引用的客观依据应当尽可能地简明扼要且直观易懂。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⑤格式规范。复审报告格式应规范、实用。版式、封面、纸张、装帧、字体、字号、页码、行间距、段落编号等格式需符合统一规范。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5.其他要求:造价</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咨询公司</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须配备沟通能力和业务能力较强，工作细致认真，且年富力强的人员参与复审。严格遵守服务内控、工作程序、质量标准、时间要求和廉政、保密纪律, 项目组成员4人以上（含4人），具备注册造价师总数配备在2人以上（含2人）；具备初级造价职称人员配备在2人以上（含2人）；其中项目组长具备类似项目的工作经验，确保工作成果的质量标准和时间要求。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6.验收要求:复审操作流程、复审成果符合工程定额或市</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场价比</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相关工作要求。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7.成果交付:按委托方曲靖市财政局实际需求确定。</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五、项目检查费用及支付方式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1.项目检查费用：本项目复审服务费分为固定费用和奖励费用，固定费用，奖励费用。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2.费用支付方式：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（1）付款：在签订业务委托合同后，年底一次性付清。</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六、项目合同服务期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曲靖市财政局投资评审中</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心评审成果复审，</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委托代理服务合同期限为1年，从服务合同签订之日起至本年度工程结算</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结束</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widowControl w:val="0"/>
        <w:numPr>
          <w:ilvl w:val="0"/>
          <w:numId w:val="0"/>
        </w:numPr>
        <w:jc w:val="both"/>
        <w:rPr>
          <w:rFonts w:hint="default" w:ascii="Times New Roman" w:hAnsi="Times New Roman" w:cs="Times New Roman" w:eastAsiaTheme="majorEastAsia"/>
          <w:color w:val="000000" w:themeColor="text1"/>
          <w:kern w:val="2"/>
          <w:sz w:val="30"/>
          <w:szCs w:val="30"/>
          <w:lang w:val="en-US" w:eastAsia="zh-CN" w:bidi="ar-SA"/>
          <w14:textFill>
            <w14:solidFill>
              <w14:schemeClr w14:val="tx1"/>
            </w14:solidFill>
          </w14:textFill>
        </w:rPr>
      </w:pPr>
    </w:p>
    <w:p>
      <w:pPr>
        <w:pStyle w:val="2"/>
        <w:rPr>
          <w:rFonts w:hint="default" w:ascii="Times New Roman" w:hAnsi="Times New Roman" w:cs="Times New Roman" w:eastAsiaTheme="minorEastAsia"/>
          <w:bCs/>
          <w:color w:val="000000" w:themeColor="text1"/>
          <w:sz w:val="30"/>
          <w:szCs w:val="30"/>
          <w:lang w:bidi="en-US"/>
          <w14:textFill>
            <w14:solidFill>
              <w14:schemeClr w14:val="tx1"/>
            </w14:solidFill>
          </w14:textFill>
        </w:rPr>
      </w:pPr>
      <w:r>
        <w:rPr>
          <w:rFonts w:hint="default" w:ascii="Times New Roman" w:hAnsi="Times New Roman" w:cs="Times New Roman" w:eastAsiaTheme="majorEastAsia"/>
          <w:color w:val="000000" w:themeColor="text1"/>
          <w:kern w:val="2"/>
          <w:sz w:val="30"/>
          <w:szCs w:val="30"/>
          <w:lang w:val="en-US" w:eastAsia="zh-CN" w:bidi="ar-SA"/>
          <w14:textFill>
            <w14:solidFill>
              <w14:schemeClr w14:val="tx1"/>
            </w14:solidFill>
          </w14:textFill>
        </w:rPr>
        <w:t xml:space="preserve"> </w:t>
      </w:r>
    </w:p>
    <w:p>
      <w:pPr>
        <w:pStyle w:val="2"/>
        <w:rPr>
          <w:rFonts w:hint="default" w:ascii="Times New Roman" w:hAnsi="Times New Roman" w:cs="Times New Roman" w:eastAsiaTheme="minorEastAsia"/>
          <w:bCs/>
          <w:sz w:val="30"/>
          <w:szCs w:val="30"/>
          <w:lang w:bidi="en-US"/>
        </w:rPr>
      </w:pPr>
    </w:p>
    <w:p>
      <w:pPr>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rPr>
          <w:rFonts w:hint="default" w:ascii="Times New Roman" w:hAnsi="Times New Roman" w:eastAsia="方正小标宋_GBK" w:cs="Times New Roman"/>
          <w:b w:val="0"/>
          <w:bCs/>
          <w:sz w:val="44"/>
          <w:szCs w:val="44"/>
          <w:lang w:eastAsia="zh-CN"/>
        </w:rPr>
      </w:pPr>
    </w:p>
    <w:p>
      <w:pPr>
        <w:pStyle w:val="10"/>
        <w:rPr>
          <w:rFonts w:hint="default" w:ascii="Times New Roman" w:hAnsi="Times New Roman" w:eastAsia="方正小标宋_GBK" w:cs="Times New Roman"/>
          <w:b w:val="0"/>
          <w:bCs/>
          <w:sz w:val="44"/>
          <w:szCs w:val="44"/>
          <w:lang w:eastAsia="zh-CN"/>
        </w:rPr>
      </w:pPr>
    </w:p>
    <w:p>
      <w:pPr>
        <w:pStyle w:val="10"/>
        <w:rPr>
          <w:rFonts w:hint="default" w:ascii="Times New Roman" w:hAnsi="Times New Roman" w:eastAsia="方正小标宋_GBK" w:cs="Times New Roman"/>
          <w:b w:val="0"/>
          <w:bCs/>
          <w:sz w:val="44"/>
          <w:szCs w:val="44"/>
          <w:lang w:eastAsia="zh-CN"/>
        </w:rPr>
      </w:pPr>
    </w:p>
    <w:p>
      <w:pPr>
        <w:pStyle w:val="10"/>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第五章</w:t>
      </w:r>
      <w:r>
        <w:rPr>
          <w:rFonts w:hint="default" w:ascii="Times New Roman" w:hAnsi="Times New Roman" w:eastAsia="方正小标宋_GBK" w:cs="Times New Roman"/>
          <w:b w:val="0"/>
          <w:bCs/>
          <w:sz w:val="44"/>
          <w:szCs w:val="44"/>
        </w:rPr>
        <w:t xml:space="preserve">  </w:t>
      </w:r>
      <w:r>
        <w:rPr>
          <w:rFonts w:hint="default" w:ascii="Times New Roman" w:hAnsi="Times New Roman" w:eastAsia="方正小标宋_GBK" w:cs="Times New Roman"/>
          <w:b w:val="0"/>
          <w:bCs/>
          <w:sz w:val="44"/>
          <w:szCs w:val="44"/>
          <w:lang w:eastAsia="zh-CN"/>
        </w:rPr>
        <w:t>合同</w:t>
      </w:r>
      <w:r>
        <w:rPr>
          <w:rFonts w:hint="default" w:ascii="Times New Roman" w:hAnsi="Times New Roman" w:eastAsia="方正小标宋_GBK" w:cs="Times New Roman"/>
          <w:b w:val="0"/>
          <w:bCs/>
          <w:sz w:val="44"/>
          <w:szCs w:val="44"/>
        </w:rPr>
        <w:t>格式文本</w:t>
      </w:r>
    </w:p>
    <w:p>
      <w:pPr>
        <w:rPr>
          <w:rFonts w:hint="default" w:ascii="Times New Roman" w:hAnsi="Times New Roman" w:cs="Times New Roman" w:eastAsiaTheme="majorEastAsia"/>
          <w:sz w:val="28"/>
        </w:rPr>
      </w:pPr>
    </w:p>
    <w:p>
      <w:pPr>
        <w:rPr>
          <w:rFonts w:hint="default" w:ascii="Times New Roman" w:hAnsi="Times New Roman" w:cs="Times New Roman" w:eastAsiaTheme="majorEastAsia"/>
          <w:sz w:val="28"/>
          <w:u w:val="single"/>
        </w:rPr>
      </w:pPr>
      <w:r>
        <w:rPr>
          <w:rFonts w:hint="default" w:ascii="Times New Roman" w:hAnsi="Times New Roman" w:cs="Times New Roman" w:eastAsiaTheme="majorEastAsia"/>
          <w:sz w:val="28"/>
          <w:lang w:eastAsia="zh-CN"/>
        </w:rPr>
        <w:t>合同</w:t>
      </w:r>
      <w:r>
        <w:rPr>
          <w:rFonts w:hint="default" w:ascii="Times New Roman" w:hAnsi="Times New Roman" w:cs="Times New Roman" w:eastAsiaTheme="majorEastAsia"/>
          <w:sz w:val="28"/>
        </w:rPr>
        <w:t>登记编号：</w:t>
      </w:r>
      <w:r>
        <w:rPr>
          <w:rFonts w:hint="default" w:ascii="Times New Roman" w:hAnsi="Times New Roman" w:cs="Times New Roman" w:eastAsiaTheme="majorEastAsia"/>
          <w:sz w:val="28"/>
          <w:u w:val="single"/>
        </w:rPr>
        <w:t xml:space="preserve">            </w:t>
      </w:r>
    </w:p>
    <w:p>
      <w:pPr>
        <w:jc w:val="center"/>
        <w:rPr>
          <w:rFonts w:hint="default" w:ascii="Times New Roman" w:hAnsi="Times New Roman" w:cs="Times New Roman" w:eastAsiaTheme="majorEastAsia"/>
          <w:b/>
          <w:spacing w:val="100"/>
          <w:sz w:val="36"/>
          <w:lang w:val="en-US" w:eastAsia="zh-CN"/>
        </w:rPr>
      </w:pPr>
      <w:r>
        <w:rPr>
          <w:rFonts w:hint="default" w:ascii="Times New Roman" w:hAnsi="Times New Roman" w:cs="Times New Roman" w:eastAsiaTheme="majorEastAsia"/>
          <w:b/>
          <w:spacing w:val="100"/>
          <w:sz w:val="36"/>
        </w:rPr>
        <w:t>曲靖市</w:t>
      </w:r>
      <w:r>
        <w:rPr>
          <w:rFonts w:hint="default" w:ascii="Times New Roman" w:hAnsi="Times New Roman" w:cs="Times New Roman" w:eastAsiaTheme="majorEastAsia"/>
          <w:b/>
          <w:spacing w:val="100"/>
          <w:sz w:val="36"/>
          <w:lang w:val="en-US" w:eastAsia="zh-CN"/>
        </w:rPr>
        <w:t>财政局</w:t>
      </w:r>
    </w:p>
    <w:p>
      <w:pPr>
        <w:jc w:val="center"/>
        <w:rPr>
          <w:rFonts w:hint="default" w:ascii="Times New Roman" w:hAnsi="Times New Roman" w:cs="Times New Roman" w:eastAsiaTheme="majorEastAsia"/>
          <w:b/>
          <w:spacing w:val="100"/>
          <w:sz w:val="36"/>
        </w:rPr>
      </w:pPr>
    </w:p>
    <w:p>
      <w:pPr>
        <w:jc w:val="center"/>
        <w:rPr>
          <w:rFonts w:hint="default" w:ascii="Times New Roman" w:hAnsi="Times New Roman" w:cs="Times New Roman" w:eastAsiaTheme="majorEastAsia"/>
          <w:b/>
          <w:sz w:val="112"/>
          <w:szCs w:val="112"/>
        </w:rPr>
      </w:pPr>
      <w:r>
        <w:rPr>
          <w:rFonts w:hint="default" w:ascii="Times New Roman" w:hAnsi="Times New Roman" w:cs="Times New Roman" w:eastAsiaTheme="majorEastAsia"/>
          <w:b/>
          <w:sz w:val="112"/>
          <w:szCs w:val="112"/>
        </w:rPr>
        <w:t>购</w:t>
      </w:r>
    </w:p>
    <w:p>
      <w:pPr>
        <w:jc w:val="center"/>
        <w:rPr>
          <w:rFonts w:hint="default" w:ascii="Times New Roman" w:hAnsi="Times New Roman" w:cs="Times New Roman" w:eastAsiaTheme="majorEastAsia"/>
          <w:b/>
          <w:sz w:val="112"/>
          <w:szCs w:val="112"/>
        </w:rPr>
      </w:pPr>
      <w:r>
        <w:rPr>
          <w:rFonts w:hint="default" w:ascii="Times New Roman" w:hAnsi="Times New Roman" w:cs="Times New Roman" w:eastAsiaTheme="majorEastAsia"/>
          <w:b/>
          <w:sz w:val="112"/>
          <w:szCs w:val="112"/>
        </w:rPr>
        <w:t>销</w:t>
      </w:r>
    </w:p>
    <w:p>
      <w:pPr>
        <w:jc w:val="center"/>
        <w:rPr>
          <w:rFonts w:hint="default" w:ascii="Times New Roman" w:hAnsi="Times New Roman" w:cs="Times New Roman" w:eastAsiaTheme="majorEastAsia"/>
          <w:b/>
          <w:sz w:val="112"/>
          <w:szCs w:val="112"/>
          <w:lang w:eastAsia="zh-CN"/>
        </w:rPr>
      </w:pPr>
      <w:r>
        <w:rPr>
          <w:rFonts w:hint="default" w:ascii="Times New Roman" w:hAnsi="Times New Roman" w:cs="Times New Roman" w:eastAsiaTheme="majorEastAsia"/>
          <w:b/>
          <w:sz w:val="112"/>
          <w:szCs w:val="112"/>
          <w:lang w:eastAsia="zh-CN"/>
        </w:rPr>
        <w:t>合</w:t>
      </w:r>
    </w:p>
    <w:p>
      <w:pPr>
        <w:pStyle w:val="2"/>
        <w:ind w:firstLine="4498" w:firstLineChars="400"/>
        <w:rPr>
          <w:rFonts w:hint="default" w:ascii="Times New Roman" w:hAnsi="Times New Roman" w:cs="Times New Roman"/>
          <w:lang w:eastAsia="zh-CN"/>
        </w:rPr>
      </w:pPr>
      <w:r>
        <w:rPr>
          <w:rFonts w:hint="default" w:ascii="Times New Roman" w:hAnsi="Times New Roman" w:cs="Times New Roman" w:eastAsiaTheme="majorEastAsia"/>
          <w:b/>
          <w:sz w:val="112"/>
          <w:szCs w:val="112"/>
          <w:lang w:eastAsia="zh-CN"/>
        </w:rPr>
        <w:t>同</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需求方：</w:t>
      </w:r>
      <w:r>
        <w:rPr>
          <w:rFonts w:hint="default" w:ascii="Times New Roman" w:hAnsi="Times New Roman" w:cs="Times New Roman" w:eastAsiaTheme="majorEastAsia"/>
          <w:sz w:val="32"/>
          <w:u w:val="single"/>
        </w:rPr>
        <w:t xml:space="preserve">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供应方：</w:t>
      </w:r>
      <w:r>
        <w:rPr>
          <w:rFonts w:hint="default" w:ascii="Times New Roman" w:hAnsi="Times New Roman" w:cs="Times New Roman" w:eastAsiaTheme="majorEastAsia"/>
          <w:sz w:val="32"/>
          <w:u w:val="single"/>
        </w:rPr>
        <w:t xml:space="preserve">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签订地点：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签订时间：       年    月    日</w:t>
      </w:r>
    </w:p>
    <w:p>
      <w:pPr>
        <w:jc w:val="center"/>
        <w:rPr>
          <w:rFonts w:hint="default" w:ascii="Times New Roman" w:hAnsi="Times New Roman" w:cs="Times New Roman" w:eastAsiaTheme="majorEastAsia"/>
          <w:sz w:val="32"/>
        </w:rPr>
      </w:pPr>
    </w:p>
    <w:p>
      <w:pPr>
        <w:jc w:val="center"/>
        <w:rPr>
          <w:rFonts w:hint="default" w:ascii="Times New Roman" w:hAnsi="Times New Roman" w:cs="Times New Roman" w:eastAsiaTheme="majorEastAsia"/>
          <w:sz w:val="32"/>
        </w:rPr>
      </w:pPr>
      <w:r>
        <w:rPr>
          <w:rFonts w:hint="default" w:ascii="Times New Roman" w:hAnsi="Times New Roman" w:cs="Times New Roman" w:eastAsiaTheme="majorEastAsia"/>
          <w:sz w:val="32"/>
        </w:rPr>
        <w:t>曲靖市</w:t>
      </w:r>
      <w:r>
        <w:rPr>
          <w:rFonts w:hint="default" w:ascii="Times New Roman" w:hAnsi="Times New Roman" w:cs="Times New Roman" w:eastAsiaTheme="majorEastAsia"/>
          <w:sz w:val="32"/>
          <w:lang w:val="en-US" w:eastAsia="zh-CN"/>
        </w:rPr>
        <w:t>财政局</w:t>
      </w:r>
      <w:r>
        <w:rPr>
          <w:rFonts w:hint="default" w:ascii="Times New Roman" w:hAnsi="Times New Roman" w:cs="Times New Roman" w:eastAsiaTheme="majorEastAsia"/>
          <w:sz w:val="32"/>
        </w:rPr>
        <w:t>制</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为保护供需双方合法权益，根据《中华人民共和国政府采购法》、《中华人民共和国</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文件》和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成交公司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响应</w:t>
      </w:r>
      <w:r>
        <w:rPr>
          <w:rFonts w:hint="default" w:ascii="Times New Roman" w:hAnsi="Times New Roman" w:eastAsia="方正仿宋_GBK" w:cs="Times New Roman"/>
          <w:sz w:val="32"/>
          <w:szCs w:val="32"/>
        </w:rPr>
        <w:t>文件》要求，以及《</w:t>
      </w:r>
      <w:r>
        <w:rPr>
          <w:rFonts w:hint="default" w:ascii="Times New Roman" w:hAnsi="Times New Roman" w:eastAsia="方正仿宋_GBK" w:cs="Times New Roman"/>
          <w:sz w:val="32"/>
          <w:szCs w:val="32"/>
          <w:lang w:val="en-US" w:eastAsia="zh-CN"/>
        </w:rPr>
        <w:t>成交</w:t>
      </w:r>
      <w:r>
        <w:rPr>
          <w:rFonts w:hint="default" w:ascii="Times New Roman" w:hAnsi="Times New Roman" w:eastAsia="方正仿宋_GBK" w:cs="Times New Roman"/>
          <w:sz w:val="32"/>
          <w:szCs w:val="32"/>
        </w:rPr>
        <w:t>通知书》约定，签订本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合同</w:t>
      </w:r>
      <w:r>
        <w:rPr>
          <w:rFonts w:hint="default" w:ascii="Times New Roman" w:hAnsi="Times New Roman" w:eastAsia="方正仿宋_GBK" w:cs="Times New Roman"/>
          <w:sz w:val="32"/>
          <w:szCs w:val="32"/>
        </w:rPr>
        <w:t>。</w:t>
      </w:r>
    </w:p>
    <w:tbl>
      <w:tblPr>
        <w:tblStyle w:val="11"/>
        <w:tblpPr w:leftFromText="180" w:rightFromText="180" w:vertAnchor="text" w:horzAnchor="page" w:tblpX="1780" w:tblpY="305"/>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72"/>
        <w:gridCol w:w="1456"/>
        <w:gridCol w:w="1199"/>
        <w:gridCol w:w="117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1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项目编号</w:t>
            </w:r>
          </w:p>
        </w:tc>
        <w:tc>
          <w:tcPr>
            <w:tcW w:w="147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45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项目标段</w:t>
            </w:r>
          </w:p>
        </w:tc>
        <w:tc>
          <w:tcPr>
            <w:tcW w:w="1199"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采购数量</w:t>
            </w:r>
          </w:p>
        </w:tc>
        <w:tc>
          <w:tcPr>
            <w:tcW w:w="1645"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201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项目名称</w:t>
            </w:r>
          </w:p>
        </w:tc>
        <w:tc>
          <w:tcPr>
            <w:tcW w:w="4127" w:type="dxa"/>
            <w:gridSpan w:val="3"/>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预算金额</w:t>
            </w:r>
          </w:p>
        </w:tc>
        <w:tc>
          <w:tcPr>
            <w:tcW w:w="1645"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8960" w:type="dxa"/>
            <w:gridSpan w:val="6"/>
            <w:noWrap w:val="0"/>
            <w:vAlign w:val="center"/>
          </w:tcPr>
          <w:p>
            <w:pPr>
              <w:autoSpaceDE w:val="0"/>
              <w:autoSpaceDN w:val="0"/>
              <w:adjustRightInd w:val="0"/>
              <w:spacing w:line="420" w:lineRule="exact"/>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合同总金额（小写）¥：</w:t>
            </w:r>
            <w:r>
              <w:rPr>
                <w:rFonts w:hint="default" w:ascii="Times New Roman" w:hAnsi="Times New Roman" w:cs="Times New Roman" w:eastAsiaTheme="majorEastAsia"/>
                <w:kern w:val="0"/>
                <w:szCs w:val="21"/>
              </w:rPr>
              <w:t xml:space="preserve">              </w:t>
            </w:r>
            <w:r>
              <w:rPr>
                <w:rFonts w:hint="default" w:ascii="Times New Roman" w:hAnsi="Times New Roman" w:cs="Times New Roman" w:eastAsiaTheme="majorEastAsia"/>
                <w:kern w:val="0"/>
                <w:szCs w:val="21"/>
                <w:lang w:val="zh-CN"/>
              </w:rPr>
              <w:t>（大写）：</w:t>
            </w:r>
          </w:p>
        </w:tc>
      </w:tr>
    </w:tbl>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p>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一、服务项目</w:t>
      </w:r>
      <w:r>
        <w:rPr>
          <w:rFonts w:hint="eastAsia" w:ascii="方正黑体_GBK" w:hAnsi="方正黑体_GBK" w:eastAsia="方正黑体_GBK" w:cs="方正黑体_GBK"/>
          <w:sz w:val="32"/>
          <w:szCs w:val="32"/>
        </w:rPr>
        <w:t>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sz w:val="32"/>
          <w:szCs w:val="32"/>
        </w:rPr>
        <w:t>质量以供应方书面提供的承诺</w:t>
      </w:r>
      <w:r>
        <w:rPr>
          <w:rFonts w:hint="default" w:ascii="Times New Roman" w:hAnsi="Times New Roman" w:eastAsia="方正仿宋_GBK" w:cs="Times New Roman"/>
          <w:sz w:val="32"/>
          <w:szCs w:val="32"/>
          <w:lang w:eastAsia="zh-CN"/>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二、服务项目要求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pacing w:val="4"/>
          <w:sz w:val="32"/>
          <w:szCs w:val="32"/>
          <w:lang w:eastAsia="zh-CN"/>
        </w:rPr>
      </w:pPr>
      <w:r>
        <w:rPr>
          <w:rFonts w:hint="default" w:ascii="Times New Roman" w:hAnsi="Times New Roman" w:eastAsia="方正仿宋_GBK" w:cs="Times New Roman"/>
          <w:sz w:val="32"/>
          <w:szCs w:val="32"/>
        </w:rPr>
        <w:t>1、时间：本合同签订后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日以内（即</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pacing w:val="-6"/>
          <w:sz w:val="32"/>
          <w:szCs w:val="32"/>
        </w:rPr>
        <w:t>之</w:t>
      </w:r>
      <w:r>
        <w:rPr>
          <w:rFonts w:hint="default" w:ascii="Times New Roman" w:hAnsi="Times New Roman" w:eastAsia="方正仿宋_GBK" w:cs="Times New Roman"/>
          <w:spacing w:val="4"/>
          <w:sz w:val="32"/>
          <w:szCs w:val="32"/>
        </w:rPr>
        <w:t>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服务交付提供</w:t>
      </w:r>
      <w:r>
        <w:rPr>
          <w:rFonts w:hint="default" w:ascii="Times New Roman" w:hAnsi="Times New Roman" w:eastAsia="方正仿宋_GBK"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2、地点：</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应按投标文件规定时间和地点</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提供服务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服务期间</w:t>
      </w:r>
      <w:r>
        <w:rPr>
          <w:rFonts w:hint="default" w:ascii="Times New Roman" w:hAnsi="Times New Roman" w:eastAsia="方正仿宋_GBK" w:cs="Times New Roman"/>
          <w:color w:val="000000" w:themeColor="text1"/>
          <w:sz w:val="32"/>
          <w:szCs w:val="32"/>
          <w14:textFill>
            <w14:solidFill>
              <w14:schemeClr w14:val="tx1"/>
            </w14:solidFill>
          </w14:textFill>
        </w:rPr>
        <w:t>的一切费用由</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三、服务项目的验收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供应方提供服务完结</w:t>
      </w:r>
      <w:r>
        <w:rPr>
          <w:rFonts w:hint="default" w:ascii="Times New Roman" w:hAnsi="Times New Roman" w:eastAsia="方正仿宋_GBK" w:cs="Times New Roman"/>
          <w:color w:val="000000" w:themeColor="text1"/>
          <w:sz w:val="32"/>
          <w:szCs w:val="32"/>
          <w14:textFill>
            <w14:solidFill>
              <w14:schemeClr w14:val="tx1"/>
            </w14:solidFill>
          </w14:textFill>
        </w:rPr>
        <w:t>，由需求方按合同规定的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项目目标、质量标准</w:t>
      </w:r>
      <w:r>
        <w:rPr>
          <w:rFonts w:hint="default" w:ascii="Times New Roman" w:hAnsi="Times New Roman" w:eastAsia="方正仿宋_GBK" w:cs="Times New Roman"/>
          <w:color w:val="000000" w:themeColor="text1"/>
          <w:sz w:val="32"/>
          <w:szCs w:val="32"/>
          <w14:textFill>
            <w14:solidFill>
              <w14:schemeClr w14:val="tx1"/>
            </w14:solidFill>
          </w14:textFill>
        </w:rPr>
        <w:t>进</w:t>
      </w:r>
      <w:r>
        <w:rPr>
          <w:rFonts w:hint="default" w:ascii="Times New Roman" w:hAnsi="Times New Roman" w:eastAsia="方正仿宋_GBK" w:cs="Times New Roman"/>
          <w:sz w:val="32"/>
          <w:szCs w:val="32"/>
        </w:rPr>
        <w:t>行验收，验收合格后双方正式办理交接手续，由</w:t>
      </w:r>
      <w:r>
        <w:rPr>
          <w:rFonts w:hint="default" w:ascii="Times New Roman" w:hAnsi="Times New Roman" w:eastAsia="方正仿宋_GBK" w:cs="Times New Roman"/>
          <w:sz w:val="32"/>
          <w:szCs w:val="32"/>
          <w:lang w:val="en-US" w:eastAsia="zh-CN"/>
        </w:rPr>
        <w:t>曲靖市财政局组织</w:t>
      </w:r>
      <w:r>
        <w:rPr>
          <w:rFonts w:hint="default" w:ascii="Times New Roman" w:hAnsi="Times New Roman" w:eastAsia="方正仿宋_GBK" w:cs="Times New Roman"/>
          <w:spacing w:val="8"/>
          <w:sz w:val="32"/>
          <w:szCs w:val="32"/>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四、</w:t>
      </w:r>
      <w:r>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付款条件和付款期限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根据需求方提供的《验收报告》和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开据的税务发票，自收到之日起在五个工作日内通过转账结算方式，按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约定的付款方式支付价</w:t>
      </w:r>
      <w:r>
        <w:rPr>
          <w:rFonts w:hint="default" w:ascii="Times New Roman" w:hAnsi="Times New Roman" w:eastAsia="方正仿宋_GBK" w:cs="Times New Roman"/>
          <w:sz w:val="32"/>
          <w:szCs w:val="32"/>
        </w:rPr>
        <w:t>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付款式：</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color w:val="000000" w:themeColor="text1"/>
          <w:sz w:val="32"/>
          <w:szCs w:val="32"/>
          <w14:textFill>
            <w14:solidFill>
              <w14:schemeClr w14:val="tx1"/>
            </w14:solidFill>
          </w14:textFill>
        </w:rPr>
        <w:t>经</w:t>
      </w:r>
      <w:r>
        <w:rPr>
          <w:rFonts w:hint="default" w:ascii="Times New Roman" w:hAnsi="Times New Roman" w:eastAsia="方正仿宋_GBK" w:cs="Times New Roman"/>
          <w:sz w:val="32"/>
          <w:szCs w:val="32"/>
        </w:rPr>
        <w:t>双方签字盖章后即产生法律效力，任何一方均不得违反，任何一方违反都应承担违约责任，并向对方支付本</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eastAsia="方正仿宋_GBK" w:cs="Times New Roman"/>
          <w:sz w:val="32"/>
          <w:szCs w:val="32"/>
        </w:rPr>
        <w:t>款总额5%的违约金。因违约行为给双方造成经济损失的，还应承担赔偿实际损失的责任，违反</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sz w:val="32"/>
          <w:szCs w:val="32"/>
        </w:rPr>
        <w:t>规定所造成的后果，按政府采购法和</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需求方出现下列行为，属于违约：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规定组织验收和接受</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按合同约定</w:t>
      </w:r>
      <w:r>
        <w:rPr>
          <w:rFonts w:hint="default" w:ascii="Times New Roman" w:hAnsi="Times New Roman" w:eastAsia="方正仿宋_GBK" w:cs="Times New Roman"/>
          <w:color w:val="000000" w:themeColor="text1"/>
          <w:sz w:val="32"/>
          <w:szCs w:val="32"/>
          <w14:textFill>
            <w14:solidFill>
              <w14:schemeClr w14:val="tx1"/>
            </w14:solidFill>
          </w14:textFill>
        </w:rPr>
        <w:t>及时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交付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供应方出现下列行为，属于违约：</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不按《投标文件》和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规定按时、按质、按量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完成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项目目标和服务内容质量保障</w:t>
      </w:r>
      <w:r>
        <w:rPr>
          <w:rFonts w:hint="default" w:ascii="Times New Roman" w:hAnsi="Times New Roman" w:eastAsia="方正仿宋_GBK" w:cs="Times New Roman"/>
          <w:color w:val="000000" w:themeColor="text1"/>
          <w:sz w:val="32"/>
          <w:szCs w:val="32"/>
          <w14:textFill>
            <w14:solidFill>
              <w14:schemeClr w14:val="tx1"/>
            </w14:solidFill>
          </w14:textFill>
        </w:rPr>
        <w:t>表述进行服务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sz w:val="32"/>
          <w:szCs w:val="32"/>
          <w:lang w:eastAsia="zh-CN"/>
        </w:rPr>
        <w:t>六、本合同未尽事宜或争议由双方协商解决。</w:t>
      </w:r>
      <w:r>
        <w:rPr>
          <w:rFonts w:hint="default" w:ascii="Times New Roman" w:hAnsi="Times New Roman" w:eastAsia="方正仿宋_GBK" w:cs="Times New Roman"/>
          <w:color w:val="000000" w:themeColor="text1"/>
          <w:sz w:val="32"/>
          <w:szCs w:val="32"/>
          <w14:textFill>
            <w14:solidFill>
              <w14:schemeClr w14:val="tx1"/>
            </w14:solidFill>
          </w14:textFill>
        </w:rPr>
        <w:t>发生争议不能协商解决，亦可依法申请行政复议或者向人民法院提起诉讼。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合同</w:t>
      </w:r>
      <w:r>
        <w:rPr>
          <w:rFonts w:hint="eastAsia" w:ascii="方正黑体_GBK" w:hAnsi="方正黑体_GBK" w:eastAsia="方正黑体_GBK" w:cs="方正黑体_GBK"/>
          <w:color w:val="000000" w:themeColor="text1"/>
          <w:sz w:val="32"/>
          <w:szCs w:val="32"/>
          <w14:textFill>
            <w14:solidFill>
              <w14:schemeClr w14:val="tx1"/>
            </w14:solidFill>
          </w14:textFill>
        </w:rPr>
        <w:t>附件与</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合同</w:t>
      </w:r>
      <w:r>
        <w:rPr>
          <w:rFonts w:hint="eastAsia" w:ascii="方正黑体_GBK" w:hAnsi="方正黑体_GBK" w:eastAsia="方正黑体_GBK" w:cs="方正黑体_GBK"/>
          <w:color w:val="000000" w:themeColor="text1"/>
          <w:sz w:val="32"/>
          <w:szCs w:val="32"/>
          <w14:textFill>
            <w14:solidFill>
              <w14:schemeClr w14:val="tx1"/>
            </w14:solidFill>
          </w14:textFill>
        </w:rPr>
        <w:t>文本具有同等的法律效力，</w:t>
      </w:r>
      <w:r>
        <w:rPr>
          <w:rFonts w:hint="default" w:ascii="Times New Roman" w:hAnsi="Times New Roman" w:eastAsia="方正仿宋_GBK" w:cs="Times New Roman"/>
          <w:color w:val="000000" w:themeColor="text1"/>
          <w:sz w:val="32"/>
          <w:szCs w:val="32"/>
          <w14:textFill>
            <w14:solidFill>
              <w14:schemeClr w14:val="tx1"/>
            </w14:solidFill>
          </w14:textFill>
        </w:rPr>
        <w:t>供需双方签订的补充和附加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不得与本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内容相冲突，有冲突的，以本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为准，本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与投标文件内容有冲突的，以投标文件为准。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合同</w:t>
      </w:r>
      <w:r>
        <w:rPr>
          <w:rFonts w:hint="eastAsia" w:ascii="方正黑体_GBK" w:hAnsi="方正黑体_GBK" w:eastAsia="方正黑体_GBK" w:cs="方正黑体_GBK"/>
          <w:color w:val="000000" w:themeColor="text1"/>
          <w:sz w:val="32"/>
          <w:szCs w:val="32"/>
          <w14:textFill>
            <w14:solidFill>
              <w14:schemeClr w14:val="tx1"/>
            </w14:solidFill>
          </w14:textFill>
        </w:rPr>
        <w:t>经三方签字盖章后正式生效。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黑体_GBK" w:hAnsi="方正黑体_GBK" w:eastAsia="方正黑体_GBK" w:cs="方正黑体_GBK"/>
          <w:color w:val="000000" w:themeColor="text1"/>
          <w:sz w:val="32"/>
          <w:szCs w:val="32"/>
          <w:lang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九、本合同一式三份，三方各执一份，供需双方各一份，</w:t>
      </w:r>
      <w: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t>需求科室一份</w:t>
      </w: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w:t>
      </w:r>
    </w:p>
    <w:p>
      <w:pPr>
        <w:rPr>
          <w:rFonts w:hint="default" w:ascii="Times New Roman" w:hAnsi="Times New Roman" w:cs="Times New Roman" w:eastAsiaTheme="majorEastAsia"/>
          <w:sz w:val="28"/>
          <w:szCs w:val="28"/>
        </w:rPr>
      </w:pPr>
    </w:p>
    <w:p>
      <w:pPr>
        <w:pStyle w:val="10"/>
        <w:rPr>
          <w:rFonts w:hint="default" w:ascii="Times New Roman" w:hAnsi="Times New Roman" w:cs="Times New Roman" w:eastAsiaTheme="majorEastAsia"/>
          <w:sz w:val="28"/>
          <w:szCs w:val="28"/>
        </w:rPr>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sz w:val="28"/>
          <w:szCs w:val="28"/>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 xml:space="preserve">需求方（签章）：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供应方（签章）：</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法定代表人：</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委托代理人：</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邮编：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邮编：</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电话：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tabs>
          <w:tab w:val="left" w:pos="425"/>
          <w:tab w:val="left" w:pos="850"/>
          <w:tab w:val="left" w:pos="1275"/>
          <w:tab w:val="left" w:pos="1700"/>
          <w:tab w:val="left" w:pos="2125"/>
          <w:tab w:val="left" w:pos="2550"/>
          <w:tab w:val="left" w:pos="2975"/>
          <w:tab w:val="center" w:pos="4422"/>
        </w:tabs>
        <w:ind w:firstLine="2720" w:firstLineChars="8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eastAsia="zh-CN"/>
        </w:rPr>
        <w:t>　</w:t>
      </w:r>
      <w:r>
        <w:rPr>
          <w:rFonts w:hint="default" w:ascii="Times New Roman" w:hAnsi="Times New Roman" w:eastAsia="方正仿宋_GBK" w:cs="Times New Roman"/>
          <w:sz w:val="32"/>
          <w:szCs w:val="32"/>
        </w:rPr>
        <w:t xml:space="preserve"> 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rPr>
        <w:t xml:space="preserve">                                                                    </w:t>
      </w:r>
    </w:p>
    <w:p>
      <w:pPr>
        <w:tabs>
          <w:tab w:val="left" w:pos="4565"/>
        </w:tabs>
        <w:wordWrap w:val="0"/>
        <w:ind w:firstLine="2720" w:firstLineChars="850"/>
        <w:jc w:val="righ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年     月     日</w:t>
      </w:r>
      <w:r>
        <w:rPr>
          <w:rFonts w:hint="eastAsia" w:eastAsia="方正仿宋_GBK" w:cs="Times New Roman"/>
          <w:sz w:val="32"/>
          <w:szCs w:val="32"/>
          <w:lang w:eastAsia="zh-CN"/>
        </w:rPr>
        <w:t>　　　　</w:t>
      </w:r>
    </w:p>
    <w:p>
      <w:pPr>
        <w:spacing w:before="120" w:after="120"/>
        <w:rPr>
          <w:rFonts w:hint="default" w:ascii="Times New Roman" w:hAnsi="Times New Roman" w:eastAsia="方正仿宋_GBK" w:cs="Times New Roman"/>
          <w:bCs/>
          <w:sz w:val="32"/>
          <w:szCs w:val="32"/>
        </w:rPr>
        <w:sectPr>
          <w:headerReference r:id="rId10" w:type="first"/>
          <w:footerReference r:id="rId12" w:type="first"/>
          <w:headerReference r:id="rId9" w:type="default"/>
          <w:footerReference r:id="rId11" w:type="default"/>
          <w:pgSz w:w="11907" w:h="16840"/>
          <w:pgMar w:top="1020" w:right="1020" w:bottom="1020" w:left="1020" w:header="720" w:footer="720" w:gutter="0"/>
          <w:pgBorders>
            <w:top w:val="none" w:sz="0" w:space="0"/>
            <w:left w:val="none" w:sz="0" w:space="0"/>
            <w:bottom w:val="none" w:sz="0" w:space="0"/>
            <w:right w:val="none" w:sz="0" w:space="0"/>
          </w:pgBorders>
          <w:pgNumType w:fmt="decimal"/>
          <w:cols w:space="720" w:num="1"/>
          <w:titlePg/>
          <w:docGrid w:type="lines" w:linePitch="315" w:charSpace="0"/>
        </w:sectPr>
      </w:pPr>
    </w:p>
    <w:p>
      <w:pPr>
        <w:pStyle w:val="6"/>
        <w:keepNext w:val="0"/>
        <w:keepLines w:val="0"/>
        <w:pageBreakBefore w:val="0"/>
        <w:widowControl w:val="0"/>
        <w:kinsoku/>
        <w:wordWrap/>
        <w:overflowPunct/>
        <w:topLinePunct w:val="0"/>
        <w:autoSpaceDE/>
        <w:autoSpaceDN/>
        <w:bidi w:val="0"/>
        <w:adjustRightInd/>
        <w:snapToGrid/>
        <w:spacing w:line="600" w:lineRule="exact"/>
        <w:ind w:firstLine="1040" w:firstLineChars="200"/>
        <w:textAlignment w:val="auto"/>
        <w:rPr>
          <w:rFonts w:hint="default" w:ascii="Times New Roman" w:hAnsi="Times New Roman" w:cs="Times New Roman" w:eastAsiaTheme="majorEastAsia"/>
          <w:sz w:val="52"/>
          <w:szCs w:val="52"/>
        </w:rPr>
      </w:pPr>
    </w:p>
    <w:p>
      <w:pPr>
        <w:pStyle w:val="6"/>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第六章   响应文件格式</w:t>
      </w:r>
    </w:p>
    <w:p>
      <w:pPr>
        <w:pStyle w:val="6"/>
        <w:tabs>
          <w:tab w:val="left" w:pos="5760"/>
        </w:tabs>
        <w:jc w:val="left"/>
        <w:rPr>
          <w:rFonts w:hint="default" w:ascii="Times New Roman" w:hAnsi="Times New Roman" w:cs="Times New Roman" w:eastAsiaTheme="majorEastAsia"/>
          <w:b w:val="0"/>
          <w:bCs/>
          <w:sz w:val="24"/>
          <w:szCs w:val="24"/>
        </w:rPr>
      </w:pPr>
      <w:r>
        <w:rPr>
          <w:rFonts w:hint="default" w:ascii="Times New Roman" w:hAnsi="Times New Roman" w:cs="Times New Roman" w:eastAsiaTheme="majorEastAsia"/>
          <w:b w:val="0"/>
          <w:bCs/>
          <w:sz w:val="24"/>
          <w:szCs w:val="24"/>
        </w:rPr>
        <w:tab/>
      </w:r>
    </w:p>
    <w:p>
      <w:pPr>
        <w:pStyle w:val="6"/>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一、谈 判 书</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sz w:val="32"/>
          <w:szCs w:val="32"/>
          <w:u w:val="single"/>
          <w:lang w:val="en-US" w:eastAsia="zh-CN"/>
        </w:rPr>
      </w:pPr>
      <w:r>
        <w:rPr>
          <w:rFonts w:hint="default" w:ascii="Times New Roman" w:hAnsi="Times New Roman" w:cs="Times New Roman" w:eastAsiaTheme="majorEastAsia"/>
          <w:b/>
          <w:sz w:val="30"/>
          <w:szCs w:val="30"/>
        </w:rPr>
        <w:t xml:space="preserve"> </w:t>
      </w:r>
      <w:r>
        <w:rPr>
          <w:rFonts w:hint="default" w:ascii="Times New Roman" w:hAnsi="Times New Roman" w:eastAsia="方正仿宋_GBK" w:cs="Times New Roman"/>
          <w:b w:val="0"/>
          <w:bCs/>
          <w:sz w:val="32"/>
          <w:szCs w:val="32"/>
        </w:rPr>
        <w:t xml:space="preserve"> 谈判编号：</w:t>
      </w:r>
      <w:r>
        <w:rPr>
          <w:rFonts w:hint="default" w:ascii="Times New Roman" w:hAnsi="Times New Roman" w:eastAsia="方正仿宋_GBK" w:cs="Times New Roman"/>
          <w:b w:val="0"/>
          <w:bCs/>
          <w:sz w:val="32"/>
          <w:szCs w:val="32"/>
          <w:u w:val="single"/>
        </w:rPr>
        <w:t>QJ</w:t>
      </w:r>
      <w:r>
        <w:rPr>
          <w:rFonts w:hint="default" w:ascii="Times New Roman" w:hAnsi="Times New Roman" w:eastAsia="方正仿宋_GBK" w:cs="Times New Roman"/>
          <w:b w:val="0"/>
          <w:bCs/>
          <w:sz w:val="32"/>
          <w:szCs w:val="32"/>
          <w:u w:val="single"/>
          <w:lang w:val="en-US" w:eastAsia="zh-CN"/>
        </w:rPr>
        <w:t>CZ—JZXTP</w:t>
      </w:r>
      <w:r>
        <w:rPr>
          <w:rFonts w:hint="eastAsia" w:ascii="Times New Roman" w:hAnsi="Times New Roman" w:eastAsia="方正仿宋_GBK" w:cs="Times New Roman"/>
          <w:b w:val="0"/>
          <w:bCs/>
          <w:sz w:val="32"/>
          <w:szCs w:val="32"/>
          <w:u w:val="single"/>
          <w:lang w:eastAsia="zh-CN"/>
        </w:rPr>
        <w:t>202202</w:t>
      </w:r>
    </w:p>
    <w:p>
      <w:pPr>
        <w:pStyle w:val="6"/>
        <w:keepNext w:val="0"/>
        <w:keepLines w:val="0"/>
        <w:pageBreakBefore w:val="0"/>
        <w:widowControl w:val="0"/>
        <w:kinsoku/>
        <w:wordWrap/>
        <w:overflowPunct/>
        <w:topLinePunct w:val="0"/>
        <w:autoSpaceDE/>
        <w:autoSpaceDN/>
        <w:bidi w:val="0"/>
        <w:adjustRightInd/>
        <w:snapToGrid/>
        <w:spacing w:line="600" w:lineRule="exact"/>
        <w:ind w:firstLine="4830"/>
        <w:textAlignment w:val="auto"/>
        <w:rPr>
          <w:rFonts w:hint="default" w:ascii="Times New Roman" w:hAnsi="Times New Roman" w:eastAsia="方正仿宋_GBK" w:cs="Times New Roman"/>
          <w:b w:val="0"/>
          <w:bCs/>
          <w:sz w:val="32"/>
          <w:szCs w:val="32"/>
          <w:u w:val="single"/>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致曲靖市</w:t>
      </w:r>
      <w:r>
        <w:rPr>
          <w:rFonts w:hint="default" w:ascii="Times New Roman" w:hAnsi="Times New Roman" w:eastAsia="方正仿宋_GBK" w:cs="Times New Roman"/>
          <w:b w:val="0"/>
          <w:bCs/>
          <w:sz w:val="32"/>
          <w:szCs w:val="32"/>
          <w:lang w:val="en-US" w:eastAsia="zh-CN"/>
        </w:rPr>
        <w:t>财政局</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在确已收到并阅读了贵方谈判文件，我方将按照《</w:t>
      </w:r>
      <w:r>
        <w:rPr>
          <w:rFonts w:hint="default"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采购文件》的规定，参加谈判。</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现提交下述响应资料：</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报价表；</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服务项目内容及标准</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证明服务</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14:textFill>
            <w14:solidFill>
              <w14:schemeClr w14:val="tx1"/>
            </w14:solidFill>
          </w14:textFill>
        </w:rPr>
        <w:t>合格性和符合谈判文件规定的文件。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我方同意以下事项：</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遵守谈判文件的各项条款及一切有关规定；</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如果我方成交，则至</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履行完为止，本谈判书保持有效；</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如果我方成交，我们将按照</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服务期实施服务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并</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保证服务质量。</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与我公司的联系方式：</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cs="Times New Roman" w:eastAsiaTheme="majorEastAsia"/>
          <w:sz w:val="30"/>
          <w:szCs w:val="30"/>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cs="Times New Roman" w:eastAsiaTheme="majorEastAsia"/>
          <w:sz w:val="30"/>
          <w:szCs w:val="30"/>
        </w:rPr>
        <w:t xml:space="preserve">    </w:t>
      </w:r>
      <w:r>
        <w:rPr>
          <w:rFonts w:hint="default" w:ascii="Times New Roman" w:hAnsi="Times New Roman" w:eastAsia="方正仿宋_GBK" w:cs="Times New Roman"/>
          <w:b w:val="0"/>
          <w:bCs w:val="0"/>
          <w:sz w:val="32"/>
          <w:szCs w:val="32"/>
        </w:rPr>
        <w:t>公司全称：</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single"/>
        </w:rPr>
      </w:pPr>
      <w:r>
        <w:rPr>
          <w:rFonts w:hint="default" w:ascii="Times New Roman" w:hAnsi="Times New Roman" w:eastAsia="方正仿宋_GBK" w:cs="Times New Roman"/>
          <w:b w:val="0"/>
          <w:bCs w:val="0"/>
          <w:sz w:val="32"/>
          <w:szCs w:val="32"/>
        </w:rPr>
        <w:t>详细地址：</w:t>
      </w:r>
      <w:r>
        <w:rPr>
          <w:rFonts w:hint="default" w:ascii="Times New Roman" w:hAnsi="Times New Roman" w:eastAsia="方正仿宋_GBK" w:cs="Times New Roman"/>
          <w:b w:val="0"/>
          <w:bCs w:val="0"/>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single"/>
        </w:rPr>
      </w:pPr>
      <w:r>
        <w:rPr>
          <w:rFonts w:hint="default" w:ascii="Times New Roman" w:hAnsi="Times New Roman" w:eastAsia="方正仿宋_GBK" w:cs="Times New Roman"/>
          <w:b w:val="0"/>
          <w:bCs w:val="0"/>
          <w:sz w:val="32"/>
          <w:szCs w:val="32"/>
        </w:rPr>
        <w:t>电话：</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手机：</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传真：</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邮编：</w:t>
      </w:r>
      <w:r>
        <w:rPr>
          <w:rFonts w:hint="default" w:ascii="Times New Roman" w:hAnsi="Times New Roman" w:eastAsia="方正仿宋_GBK" w:cs="Times New Roman"/>
          <w:b w:val="0"/>
          <w:bCs w:val="0"/>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法定代表人签名：</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委托代理人签名：</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谈判</w:t>
      </w:r>
      <w:r>
        <w:rPr>
          <w:rFonts w:hint="default" w:ascii="Times New Roman" w:hAnsi="Times New Roman" w:eastAsia="方正仿宋_GBK" w:cs="Times New Roman"/>
          <w:b w:val="0"/>
          <w:bCs w:val="0"/>
          <w:sz w:val="32"/>
          <w:szCs w:val="32"/>
          <w:lang w:val="en-US" w:eastAsia="zh-CN"/>
        </w:rPr>
        <w:t>供应商</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公章</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年      月      日</w:t>
      </w:r>
    </w:p>
    <w:p>
      <w:pPr>
        <w:pStyle w:val="6"/>
        <w:jc w:val="both"/>
        <w:outlineLvl w:val="0"/>
        <w:rPr>
          <w:rFonts w:hint="default" w:ascii="Times New Roman" w:hAnsi="Times New Roman" w:cs="Times New Roman" w:eastAsiaTheme="majorEastAsia"/>
          <w:b/>
          <w:sz w:val="30"/>
          <w:szCs w:val="30"/>
        </w:rPr>
      </w:pPr>
    </w:p>
    <w:p>
      <w:pPr>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rPr>
      </w:pPr>
    </w:p>
    <w:p>
      <w:pPr>
        <w:rPr>
          <w:rFonts w:hint="default" w:ascii="Times New Roman" w:hAnsi="Times New Roman" w:eastAsia="方正仿宋_GBK" w:cs="Times New Roman"/>
          <w:b w:val="0"/>
          <w:bCs/>
          <w:kern w:val="0"/>
          <w:sz w:val="32"/>
          <w:szCs w:val="32"/>
        </w:rPr>
      </w:pPr>
    </w:p>
    <w:p>
      <w:pPr>
        <w:pStyle w:val="2"/>
        <w:rPr>
          <w:rFonts w:hint="default" w:ascii="Times New Roman" w:hAnsi="Times New Roman" w:eastAsia="方正仿宋_GBK" w:cs="Times New Roman"/>
          <w:b w:val="0"/>
          <w:bCs/>
          <w:kern w:val="0"/>
          <w:sz w:val="32"/>
          <w:szCs w:val="32"/>
        </w:rPr>
      </w:pPr>
    </w:p>
    <w:p>
      <w:pPr>
        <w:pStyle w:val="2"/>
        <w:rPr>
          <w:rFonts w:hint="default" w:ascii="Times New Roman" w:hAnsi="Times New Roman" w:eastAsia="方正仿宋_GBK" w:cs="Times New Roman"/>
          <w:b w:val="0"/>
          <w:bCs/>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kern w:val="0"/>
          <w:sz w:val="32"/>
          <w:szCs w:val="32"/>
          <w:lang w:eastAsia="zh-CN"/>
        </w:rPr>
        <w:t>二</w:t>
      </w:r>
      <w:r>
        <w:rPr>
          <w:rFonts w:hint="default" w:ascii="Times New Roman" w:hAnsi="Times New Roman" w:eastAsia="方正仿宋_GBK" w:cs="Times New Roman"/>
          <w:b w:val="0"/>
          <w:bCs/>
          <w:kern w:val="0"/>
          <w:sz w:val="32"/>
          <w:szCs w:val="32"/>
        </w:rPr>
        <w:t>、谈判</w:t>
      </w:r>
      <w:r>
        <w:rPr>
          <w:rFonts w:hint="default" w:ascii="Times New Roman" w:hAnsi="Times New Roman" w:eastAsia="方正仿宋_GBK" w:cs="Times New Roman"/>
          <w:b w:val="0"/>
          <w:bCs/>
          <w:kern w:val="0"/>
          <w:sz w:val="32"/>
          <w:szCs w:val="32"/>
          <w:lang w:eastAsia="zh-CN"/>
        </w:rPr>
        <w:t>方案</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rPr>
      </w:pPr>
      <w:r>
        <w:rPr>
          <w:rFonts w:hint="eastAsia" w:ascii="Times New Roman" w:hAnsi="Times New Roman" w:eastAsia="方正仿宋_GBK" w:cs="Times New Roman"/>
          <w:b w:val="0"/>
          <w:bCs/>
          <w:kern w:val="0"/>
          <w:sz w:val="32"/>
          <w:szCs w:val="32"/>
          <w:lang w:eastAsia="zh-CN"/>
        </w:rPr>
        <w:t>三</w:t>
      </w:r>
      <w:r>
        <w:rPr>
          <w:rFonts w:hint="default" w:ascii="Times New Roman" w:hAnsi="Times New Roman" w:eastAsia="方正仿宋_GBK" w:cs="Times New Roman"/>
          <w:b w:val="0"/>
          <w:bCs/>
          <w:kern w:val="0"/>
          <w:sz w:val="32"/>
          <w:szCs w:val="32"/>
        </w:rPr>
        <w:t>、采购文件列明需提供材料</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 w:val="0"/>
          <w:bCs/>
          <w:kern w:val="0"/>
          <w:sz w:val="32"/>
          <w:szCs w:val="32"/>
          <w:lang w:eastAsia="zh-CN"/>
        </w:rPr>
        <w:t>四</w:t>
      </w:r>
      <w:r>
        <w:rPr>
          <w:rFonts w:hint="default" w:ascii="Times New Roman" w:hAnsi="Times New Roman" w:eastAsia="方正仿宋_GBK" w:cs="Times New Roman"/>
          <w:b w:val="0"/>
          <w:bCs/>
          <w:kern w:val="0"/>
          <w:sz w:val="32"/>
          <w:szCs w:val="32"/>
        </w:rPr>
        <w:t>、证</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明</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的合格性和符合采购文件规定的文件</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 w:val="0"/>
          <w:bCs/>
          <w:color w:val="000000" w:themeColor="text1"/>
          <w:kern w:val="0"/>
          <w:sz w:val="32"/>
          <w:szCs w:val="32"/>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、谈判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服务项目质量保障承诺</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14:textFill>
            <w14:solidFill>
              <w14:schemeClr w14:val="tx1"/>
            </w14:solidFill>
          </w14:textFill>
        </w:rPr>
        <w:t>、供应</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资质和资信证明文件</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七</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w:t>
      </w:r>
      <w:r>
        <w:rPr>
          <w:rFonts w:hint="default" w:ascii="Times New Roman" w:hAnsi="Times New Roman" w:eastAsia="方正仿宋_GBK" w:cs="Times New Roman"/>
          <w:b w:val="0"/>
          <w:bCs/>
          <w:color w:val="000000" w:themeColor="text1"/>
          <w:sz w:val="32"/>
          <w:szCs w:val="32"/>
          <w14:textFill>
            <w14:solidFill>
              <w14:schemeClr w14:val="tx1"/>
            </w14:solidFill>
          </w14:textFill>
        </w:rPr>
        <w:t>计划和进度表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eastAsia="方正仿宋_GBK" w:cs="Times New Roman"/>
          <w:b w:val="0"/>
          <w:bCs/>
          <w:color w:val="000000" w:themeColor="text1"/>
          <w:sz w:val="32"/>
          <w:szCs w:val="32"/>
          <w:lang w:val="en-US" w:eastAsia="zh-CN"/>
          <w14:textFill>
            <w14:solidFill>
              <w14:schemeClr w14:val="tx1"/>
            </w14:solidFill>
          </w14:textFill>
        </w:rPr>
        <w:t>八</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、中小企业声明函</w:t>
      </w:r>
    </w:p>
    <w:p>
      <w:pPr>
        <w:pStyle w:val="6"/>
        <w:ind w:left="420" w:leftChars="200" w:firstLine="602" w:firstLineChars="200"/>
        <w:rPr>
          <w:rFonts w:hint="default" w:ascii="Times New Roman" w:hAnsi="Times New Roman" w:cs="Times New Roman" w:eastAsiaTheme="majorEastAsia"/>
          <w:b/>
          <w:kern w:val="0"/>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sectPr>
          <w:headerReference r:id="rId13" w:type="default"/>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pStyle w:val="6"/>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r>
        <w:rPr>
          <w:rFonts w:hint="default" w:ascii="Times New Roman" w:hAnsi="Times New Roman" w:eastAsia="方正黑体_GBK" w:cs="Times New Roman"/>
          <w:b w:val="0"/>
          <w:bCs/>
          <w:sz w:val="32"/>
          <w:szCs w:val="32"/>
        </w:rPr>
        <w:t>法定代表人授权委托书（样式）</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（姓名）为我公司的代理人，以公司名义参加曲靖市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编号）的</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活动，代理人在开标、评标、合同谈判中所签署的一切和处理与之有关的一切事务，我均予承认。代理人无权转委托权。特此委托。</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  别：</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身份证复印件：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法定代表人（签字）： </w:t>
      </w:r>
      <w:r>
        <w:rPr>
          <w:rFonts w:hint="default" w:ascii="Times New Roman" w:hAnsi="Times New Roman" w:eastAsia="方正仿宋_GBK" w:cs="Times New Roman"/>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谈判</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全称（公章）：</w:t>
      </w:r>
      <w:r>
        <w:rPr>
          <w:rFonts w:hint="default" w:ascii="Times New Roman" w:hAnsi="Times New Roman" w:eastAsia="方正仿宋_GBK" w:cs="Times New Roman"/>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jc w:val="both"/>
        <w:rPr>
          <w:rFonts w:hint="default" w:ascii="Times New Roman" w:hAnsi="Times New Roman" w:cs="Times New Roman"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法定代表人资格证明（样式）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，性别：</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，为我公司法定代表人。</w:t>
      </w:r>
    </w:p>
    <w:p>
      <w:pPr>
        <w:pStyle w:val="6"/>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特此证明。</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身份证复印件：</w:t>
      </w: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1280" w:firstLineChars="400"/>
        <w:jc w:val="center"/>
        <w:textAlignment w:val="auto"/>
        <w:rPr>
          <w:rFonts w:hint="default" w:ascii="Times New Roman" w:hAnsi="Times New Roman" w:eastAsia="方正仿宋_GBK" w:cs="Times New Roman"/>
          <w:b w:val="0"/>
          <w:bCs/>
          <w:sz w:val="32"/>
          <w:szCs w:val="32"/>
          <w:u w:val="single"/>
        </w:rPr>
      </w:pP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sz w:val="32"/>
          <w:szCs w:val="32"/>
          <w:lang w:val="en-US" w:eastAsia="zh-CN"/>
        </w:rPr>
        <w:t>供应商</w:t>
      </w:r>
      <w:r>
        <w:rPr>
          <w:rFonts w:hint="default" w:ascii="Times New Roman" w:hAnsi="Times New Roman" w:eastAsia="方正仿宋_GBK" w:cs="Times New Roman"/>
          <w:b w:val="0"/>
          <w:bCs/>
          <w:sz w:val="32"/>
          <w:szCs w:val="32"/>
        </w:rPr>
        <w:t xml:space="preserve">全称（公章）： </w:t>
      </w:r>
      <w:r>
        <w:rPr>
          <w:rFonts w:hint="default" w:ascii="Times New Roman" w:hAnsi="Times New Roman" w:eastAsia="方正仿宋_GBK" w:cs="Times New Roman"/>
          <w:b w:val="0"/>
          <w:bCs/>
          <w:sz w:val="32"/>
          <w:szCs w:val="32"/>
          <w:u w:val="single"/>
        </w:rPr>
        <w:t xml:space="preserve">                   </w:t>
      </w:r>
    </w:p>
    <w:p>
      <w:pPr>
        <w:rPr>
          <w:rFonts w:hint="default" w:ascii="Times New Roman" w:hAnsi="Times New Roman" w:eastAsia="方正仿宋_GBK" w:cs="Times New Roman"/>
          <w:b w:val="0"/>
          <w:bCs/>
          <w:sz w:val="32"/>
          <w:szCs w:val="32"/>
          <w:u w:val="single"/>
        </w:rPr>
      </w:pPr>
    </w:p>
    <w:p>
      <w:pPr>
        <w:pStyle w:val="10"/>
        <w:rPr>
          <w:rFonts w:hint="default" w:ascii="Times New Roman" w:hAnsi="Times New Roman" w:cs="Times New Roman"/>
        </w:rPr>
      </w:pPr>
    </w:p>
    <w:p>
      <w:pPr>
        <w:pStyle w:val="6"/>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年　</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月</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　日</w:t>
      </w:r>
      <w:r>
        <w:rPr>
          <w:rFonts w:hint="default" w:ascii="Times New Roman" w:hAnsi="Times New Roman" w:eastAsia="方正仿宋_GBK" w:cs="Times New Roman"/>
          <w:b w:val="0"/>
          <w:bCs/>
          <w:sz w:val="32"/>
          <w:szCs w:val="32"/>
          <w:lang w:eastAsia="zh-CN"/>
        </w:rPr>
        <w:t>　　　</w:t>
      </w:r>
    </w:p>
    <w:p>
      <w:pPr>
        <w:pStyle w:val="6"/>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hint="default" w:ascii="Times New Roman" w:hAnsi="Times New Roman" w:eastAsia="方正仿宋_GBK" w:cs="Times New Roman"/>
          <w:b w:val="0"/>
          <w:bCs/>
          <w:sz w:val="32"/>
          <w:szCs w:val="32"/>
        </w:rPr>
      </w:pPr>
    </w:p>
    <w:p>
      <w:pPr>
        <w:rPr>
          <w:rFonts w:hint="default" w:ascii="Times New Roman" w:hAnsi="Times New Roman" w:cs="Times New Roman" w:eastAsiaTheme="majorEastAsia"/>
          <w:sz w:val="30"/>
          <w:szCs w:val="30"/>
        </w:rPr>
      </w:pPr>
    </w:p>
    <w:p>
      <w:pPr>
        <w:pStyle w:val="10"/>
        <w:rPr>
          <w:rFonts w:hint="default" w:ascii="Times New Roman" w:hAnsi="Times New Roman" w:cs="Times New Roman" w:eastAsiaTheme="majorEastAsia"/>
          <w:sz w:val="30"/>
          <w:szCs w:val="30"/>
        </w:rPr>
      </w:pPr>
    </w:p>
    <w:p>
      <w:pPr>
        <w:rPr>
          <w:rFonts w:hint="default" w:ascii="Times New Roman" w:hAnsi="Times New Roman" w:cs="Times New Roman"/>
        </w:rPr>
      </w:pPr>
    </w:p>
    <w:sectPr>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F4CE129A-937B-4B84-887F-EE7B94B6CCF3}"/>
  </w:font>
  <w:font w:name="方正小标宋_GBK">
    <w:panose1 w:val="03000509000000000000"/>
    <w:charset w:val="86"/>
    <w:family w:val="auto"/>
    <w:pitch w:val="default"/>
    <w:sig w:usb0="00000001" w:usb1="080E0000" w:usb2="00000000" w:usb3="00000000" w:csb0="00040000" w:csb1="00000000"/>
    <w:embedRegular r:id="rId2" w:fontKey="{EBBE67AE-4F41-4DDA-A54B-8DB14B616EB8}"/>
  </w:font>
  <w:font w:name="方正仿宋简体">
    <w:panose1 w:val="02010601030101010101"/>
    <w:charset w:val="86"/>
    <w:family w:val="auto"/>
    <w:pitch w:val="default"/>
    <w:sig w:usb0="00000001" w:usb1="080E0000" w:usb2="00000000" w:usb3="00000000" w:csb0="00040000" w:csb1="00000000"/>
    <w:embedRegular r:id="rId3" w:fontKey="{06FC1CDD-AF86-40F9-993A-6A595B00CDEC}"/>
  </w:font>
  <w:font w:name="方正黑体_GBK">
    <w:panose1 w:val="03000509000000000000"/>
    <w:charset w:val="86"/>
    <w:family w:val="auto"/>
    <w:pitch w:val="default"/>
    <w:sig w:usb0="00000001" w:usb1="080E0000" w:usb2="00000000" w:usb3="00000000" w:csb0="00040000" w:csb1="00000000"/>
    <w:embedRegular r:id="rId4" w:fontKey="{1454AA4D-0AB5-4213-A196-E1298F358FC4}"/>
  </w:font>
  <w:font w:name="仿宋">
    <w:panose1 w:val="02010609060101010101"/>
    <w:charset w:val="86"/>
    <w:family w:val="modern"/>
    <w:pitch w:val="default"/>
    <w:sig w:usb0="800002BF" w:usb1="38CF7CFA" w:usb2="00000016" w:usb3="00000000" w:csb0="00040001" w:csb1="00000000"/>
    <w:embedRegular r:id="rId5" w:fontKey="{B952E419-7455-4106-B465-166DFC5A0133}"/>
  </w:font>
  <w:font w:name="仿宋_GB2312">
    <w:panose1 w:val="02010609030101010101"/>
    <w:charset w:val="86"/>
    <w:family w:val="modern"/>
    <w:pitch w:val="default"/>
    <w:sig w:usb0="00000001" w:usb1="080E0000" w:usb2="00000000" w:usb3="00000000" w:csb0="00040000" w:csb1="00000000"/>
    <w:embedRegular r:id="rId6" w:fontKey="{A803FD8A-FE0D-4661-AD2B-5DB753AD81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0</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420" w:leftChars="200" w:right="546" w:rightChars="260"/>
      <w:jc w:val="right"/>
      <w:rPr>
        <w:rFonts w:hint="eastAsia"/>
        <w:b/>
        <w:i/>
        <w:color w:val="FF0000"/>
        <w:sz w:val="21"/>
        <w:szCs w:val="21"/>
      </w:rPr>
    </w:pPr>
    <w:r>
      <w:rPr>
        <w:rFonts w:hint="eastAsia"/>
        <w:b/>
        <w:i/>
        <w:color w:val="FF0000"/>
        <w:sz w:val="21"/>
        <w:szCs w:val="21"/>
        <w:lang w:eastAsia="zh-CN"/>
      </w:rPr>
      <w:t>竞争性谈判</w:t>
    </w:r>
    <w:r>
      <w:rPr>
        <w:rFonts w:hint="eastAsia"/>
        <w:b/>
        <w:i/>
        <w:color w:val="FF0000"/>
        <w:sz w:val="21"/>
        <w:szCs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民族大道灯具采购（NNGF2002-014C）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left="420" w:leftChars="200" w:right="546" w:rightChars="260"/>
      <w:jc w:val="right"/>
      <w:rPr>
        <w:rFonts w:hint="eastAsia"/>
        <w:b/>
        <w:i/>
        <w:color w:val="FF0000"/>
        <w:sz w:val="21"/>
        <w:szCs w:val="21"/>
      </w:rPr>
    </w:pPr>
    <w:r>
      <w:tab/>
    </w:r>
    <w:r>
      <w:tab/>
    </w:r>
  </w:p>
  <w:p>
    <w:pPr>
      <w:pStyle w:val="8"/>
      <w:pBdr>
        <w:bottom w:val="none" w:color="auto" w:sz="0" w:space="1"/>
      </w:pBdr>
      <w:ind w:left="420" w:leftChars="200" w:right="546" w:rightChars="260"/>
      <w:jc w:val="right"/>
      <w:rPr>
        <w:rFonts w:hint="eastAsia"/>
        <w:b/>
        <w:i/>
        <w:u w:val="single"/>
        <w:shd w:val="pct10" w:color="auto" w:fill="FFFF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420" w:leftChars="200" w:right="546" w:rightChars="260"/>
      <w:jc w:val="right"/>
    </w:pPr>
    <w:r>
      <w:rPr>
        <w:rFonts w:hint="eastAsia"/>
        <w:b/>
        <w:i/>
        <w:color w:val="FF0000"/>
        <w:sz w:val="21"/>
        <w:szCs w:val="21"/>
        <w:lang w:eastAsia="zh-CN"/>
      </w:rPr>
      <w:t>竞争性谈判</w:t>
    </w:r>
    <w:r>
      <w:rPr>
        <w:rFonts w:hint="eastAsia"/>
        <w:b/>
        <w:i/>
        <w:color w:val="FF0000"/>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b/>
        <w:i/>
        <w:color w:val="FF0000"/>
        <w:u w:val="single"/>
        <w:shd w:val="pct10" w:color="auto" w:fill="FFFFFF"/>
      </w:rPr>
    </w:pPr>
    <w:r>
      <w:rPr>
        <w:rFonts w:hint="eastAsia" w:ascii="仿宋" w:hAnsi="仿宋" w:eastAsia="仿宋" w:cs="仿宋"/>
        <w:b/>
        <w:i/>
        <w:color w:val="FF0000"/>
        <w:kern w:val="0"/>
        <w:sz w:val="21"/>
        <w:szCs w:val="21"/>
      </w:rPr>
      <w:t xml:space="preserve"> </w:t>
    </w:r>
    <w:r>
      <w:rPr>
        <w:rFonts w:hint="eastAsia" w:ascii="仿宋" w:hAnsi="仿宋" w:eastAsia="仿宋" w:cs="仿宋"/>
        <w:b/>
        <w:i/>
        <w:color w:val="FF0000"/>
        <w:sz w:val="21"/>
        <w:szCs w:val="21"/>
      </w:rPr>
      <w:t>政府采购谈判文件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eastAsia"/>
        <w:b/>
        <w:i/>
        <w:color w:val="FF0000"/>
        <w:u w:val="single"/>
        <w:shd w:val="pct10" w:color="auto" w:fill="FFFFFF"/>
      </w:rPr>
    </w:pPr>
    <w:r>
      <w:rPr>
        <w:rFonts w:hint="eastAsia"/>
        <w:b/>
        <w:i/>
        <w:color w:val="FF0000"/>
        <w:sz w:val="21"/>
        <w:szCs w:val="21"/>
        <w:lang w:eastAsia="zh-CN"/>
      </w:rPr>
      <w:t>竞争性谈判</w:t>
    </w:r>
    <w:r>
      <w:rPr>
        <w:rFonts w:hint="eastAsia"/>
        <w:b/>
        <w:i/>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37966"/>
    <w:multiLevelType w:val="singleLevel"/>
    <w:tmpl w:val="88B37966"/>
    <w:lvl w:ilvl="0" w:tentative="0">
      <w:start w:val="1"/>
      <w:numFmt w:val="decimal"/>
      <w:suff w:val="nothing"/>
      <w:lvlText w:val="（%1）"/>
      <w:lvlJc w:val="left"/>
      <w:pPr>
        <w:ind w:left="560" w:leftChars="0" w:firstLine="0" w:firstLineChars="0"/>
      </w:pPr>
    </w:lvl>
  </w:abstractNum>
  <w:abstractNum w:abstractNumId="1">
    <w:nsid w:val="8CF1A61A"/>
    <w:multiLevelType w:val="singleLevel"/>
    <w:tmpl w:val="8CF1A61A"/>
    <w:lvl w:ilvl="0" w:tentative="0">
      <w:start w:val="1"/>
      <w:numFmt w:val="decimal"/>
      <w:suff w:val="nothing"/>
      <w:lvlText w:val="（%1）"/>
      <w:lvlJc w:val="left"/>
      <w:pPr>
        <w:ind w:left="560" w:leftChars="0" w:firstLine="0" w:firstLineChars="0"/>
      </w:pPr>
    </w:lvl>
  </w:abstractNum>
  <w:abstractNum w:abstractNumId="2">
    <w:nsid w:val="F9AB4E2F"/>
    <w:multiLevelType w:val="singleLevel"/>
    <w:tmpl w:val="F9AB4E2F"/>
    <w:lvl w:ilvl="0" w:tentative="0">
      <w:start w:val="1"/>
      <w:numFmt w:val="chineseCounting"/>
      <w:suff w:val="nothing"/>
      <w:lvlText w:val="%1、"/>
      <w:lvlJc w:val="left"/>
      <w:rPr>
        <w:rFonts w:hint="eastAsia"/>
      </w:rPr>
    </w:lvl>
  </w:abstractNum>
  <w:abstractNum w:abstractNumId="3">
    <w:nsid w:val="42C007AE"/>
    <w:multiLevelType w:val="multilevel"/>
    <w:tmpl w:val="42C007AE"/>
    <w:lvl w:ilvl="0" w:tentative="0">
      <w:start w:val="1"/>
      <w:numFmt w:val="japaneseCounting"/>
      <w:lvlText w:val="第%1章"/>
      <w:lvlJc w:val="left"/>
      <w:pPr>
        <w:tabs>
          <w:tab w:val="left" w:pos="4188"/>
        </w:tabs>
        <w:ind w:left="4188" w:hanging="2100"/>
      </w:pPr>
      <w:rPr>
        <w:rFonts w:hint="eastAsia" w:ascii="方正小标宋_GBK" w:hAnsi="方正小标宋_GBK" w:eastAsia="方正小标宋_GBK" w:cs="方正小标宋_GBK"/>
      </w:rPr>
    </w:lvl>
    <w:lvl w:ilvl="1" w:tentative="0">
      <w:start w:val="1"/>
      <w:numFmt w:val="lowerLetter"/>
      <w:lvlText w:val="%2)"/>
      <w:lvlJc w:val="left"/>
      <w:pPr>
        <w:tabs>
          <w:tab w:val="left" w:pos="2928"/>
        </w:tabs>
        <w:ind w:left="2928" w:hanging="420"/>
      </w:pPr>
    </w:lvl>
    <w:lvl w:ilvl="2" w:tentative="0">
      <w:start w:val="1"/>
      <w:numFmt w:val="lowerRoman"/>
      <w:lvlText w:val="%3."/>
      <w:lvlJc w:val="right"/>
      <w:pPr>
        <w:tabs>
          <w:tab w:val="left" w:pos="3348"/>
        </w:tabs>
        <w:ind w:left="3348" w:hanging="420"/>
      </w:pPr>
    </w:lvl>
    <w:lvl w:ilvl="3" w:tentative="0">
      <w:start w:val="1"/>
      <w:numFmt w:val="decimal"/>
      <w:lvlText w:val="%4."/>
      <w:lvlJc w:val="left"/>
      <w:pPr>
        <w:tabs>
          <w:tab w:val="left" w:pos="3768"/>
        </w:tabs>
        <w:ind w:left="3768" w:hanging="420"/>
      </w:pPr>
    </w:lvl>
    <w:lvl w:ilvl="4" w:tentative="0">
      <w:start w:val="1"/>
      <w:numFmt w:val="lowerLetter"/>
      <w:lvlText w:val="%5)"/>
      <w:lvlJc w:val="left"/>
      <w:pPr>
        <w:tabs>
          <w:tab w:val="left" w:pos="4188"/>
        </w:tabs>
        <w:ind w:left="4188" w:hanging="420"/>
      </w:pPr>
    </w:lvl>
    <w:lvl w:ilvl="5" w:tentative="0">
      <w:start w:val="1"/>
      <w:numFmt w:val="lowerRoman"/>
      <w:lvlText w:val="%6."/>
      <w:lvlJc w:val="right"/>
      <w:pPr>
        <w:tabs>
          <w:tab w:val="left" w:pos="4608"/>
        </w:tabs>
        <w:ind w:left="4608" w:hanging="420"/>
      </w:pPr>
    </w:lvl>
    <w:lvl w:ilvl="6" w:tentative="0">
      <w:start w:val="1"/>
      <w:numFmt w:val="decimal"/>
      <w:lvlText w:val="%7."/>
      <w:lvlJc w:val="left"/>
      <w:pPr>
        <w:tabs>
          <w:tab w:val="left" w:pos="5028"/>
        </w:tabs>
        <w:ind w:left="5028" w:hanging="420"/>
      </w:pPr>
    </w:lvl>
    <w:lvl w:ilvl="7" w:tentative="0">
      <w:start w:val="1"/>
      <w:numFmt w:val="lowerLetter"/>
      <w:lvlText w:val="%8)"/>
      <w:lvlJc w:val="left"/>
      <w:pPr>
        <w:tabs>
          <w:tab w:val="left" w:pos="5448"/>
        </w:tabs>
        <w:ind w:left="5448" w:hanging="420"/>
      </w:pPr>
    </w:lvl>
    <w:lvl w:ilvl="8" w:tentative="0">
      <w:start w:val="1"/>
      <w:numFmt w:val="lowerRoman"/>
      <w:lvlText w:val="%9."/>
      <w:lvlJc w:val="right"/>
      <w:pPr>
        <w:tabs>
          <w:tab w:val="left" w:pos="5868"/>
        </w:tabs>
        <w:ind w:left="5868" w:hanging="420"/>
      </w:pPr>
    </w:lvl>
  </w:abstractNum>
  <w:abstractNum w:abstractNumId="4">
    <w:nsid w:val="458E5E3E"/>
    <w:multiLevelType w:val="singleLevel"/>
    <w:tmpl w:val="458E5E3E"/>
    <w:lvl w:ilvl="0" w:tentative="0">
      <w:start w:val="4"/>
      <w:numFmt w:val="chineseCounting"/>
      <w:suff w:val="nothing"/>
      <w:lvlText w:val="第%1章、"/>
      <w:lvlJc w:val="left"/>
      <w:rPr>
        <w:rFonts w:hint="eastAsia" w:ascii="方正小标宋_GBK" w:hAnsi="方正小标宋_GBK" w:eastAsia="方正小标宋_GBK" w:cs="方正小标宋_GBK"/>
        <w:sz w:val="44"/>
        <w:szCs w:val="44"/>
      </w:rPr>
    </w:lvl>
  </w:abstractNum>
  <w:abstractNum w:abstractNumId="5">
    <w:nsid w:val="5695FC5E"/>
    <w:multiLevelType w:val="singleLevel"/>
    <w:tmpl w:val="5695FC5E"/>
    <w:lvl w:ilvl="0" w:tentative="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05EA0"/>
    <w:rsid w:val="00675481"/>
    <w:rsid w:val="010F1DA1"/>
    <w:rsid w:val="02E84657"/>
    <w:rsid w:val="03372ED0"/>
    <w:rsid w:val="04343C8D"/>
    <w:rsid w:val="04785EAF"/>
    <w:rsid w:val="04C4125D"/>
    <w:rsid w:val="04E470A0"/>
    <w:rsid w:val="056C5A14"/>
    <w:rsid w:val="061614DB"/>
    <w:rsid w:val="06D53145"/>
    <w:rsid w:val="070103DE"/>
    <w:rsid w:val="07397B77"/>
    <w:rsid w:val="078F7797"/>
    <w:rsid w:val="082F2D28"/>
    <w:rsid w:val="084E7652"/>
    <w:rsid w:val="08775FB0"/>
    <w:rsid w:val="08DD09D6"/>
    <w:rsid w:val="08E41D65"/>
    <w:rsid w:val="09C3197A"/>
    <w:rsid w:val="09E813E1"/>
    <w:rsid w:val="0AA42B38"/>
    <w:rsid w:val="0B221DB0"/>
    <w:rsid w:val="0BC47C2C"/>
    <w:rsid w:val="0BEB6F66"/>
    <w:rsid w:val="0C01513E"/>
    <w:rsid w:val="0C746D5A"/>
    <w:rsid w:val="0D703BC7"/>
    <w:rsid w:val="0D924D90"/>
    <w:rsid w:val="0DE16873"/>
    <w:rsid w:val="0F735BF1"/>
    <w:rsid w:val="0F9F39DA"/>
    <w:rsid w:val="0FE555D4"/>
    <w:rsid w:val="1054157E"/>
    <w:rsid w:val="10A64DD8"/>
    <w:rsid w:val="10B1077E"/>
    <w:rsid w:val="1102722C"/>
    <w:rsid w:val="11257151"/>
    <w:rsid w:val="115B4B8E"/>
    <w:rsid w:val="11C664AC"/>
    <w:rsid w:val="11D707BB"/>
    <w:rsid w:val="11E06E41"/>
    <w:rsid w:val="11FC1ECD"/>
    <w:rsid w:val="128E689D"/>
    <w:rsid w:val="12F46D97"/>
    <w:rsid w:val="130C25E4"/>
    <w:rsid w:val="137309EC"/>
    <w:rsid w:val="13A445CA"/>
    <w:rsid w:val="13B301DE"/>
    <w:rsid w:val="14425B91"/>
    <w:rsid w:val="144F489C"/>
    <w:rsid w:val="14863CD0"/>
    <w:rsid w:val="148A6E4C"/>
    <w:rsid w:val="148F527B"/>
    <w:rsid w:val="14902DA1"/>
    <w:rsid w:val="15080B89"/>
    <w:rsid w:val="15F027A3"/>
    <w:rsid w:val="1602382A"/>
    <w:rsid w:val="161B669A"/>
    <w:rsid w:val="16353C00"/>
    <w:rsid w:val="163D0D06"/>
    <w:rsid w:val="165D408E"/>
    <w:rsid w:val="167504A0"/>
    <w:rsid w:val="16D8458B"/>
    <w:rsid w:val="174F484D"/>
    <w:rsid w:val="17667DE9"/>
    <w:rsid w:val="180169CE"/>
    <w:rsid w:val="187F4254"/>
    <w:rsid w:val="18822A00"/>
    <w:rsid w:val="188B7B07"/>
    <w:rsid w:val="18A4506D"/>
    <w:rsid w:val="18DA43D1"/>
    <w:rsid w:val="18FC24DB"/>
    <w:rsid w:val="19434727"/>
    <w:rsid w:val="197B5DCD"/>
    <w:rsid w:val="19DC330C"/>
    <w:rsid w:val="1A0E081B"/>
    <w:rsid w:val="1B0342CC"/>
    <w:rsid w:val="1B083691"/>
    <w:rsid w:val="1B0E2C71"/>
    <w:rsid w:val="1B100797"/>
    <w:rsid w:val="1B701236"/>
    <w:rsid w:val="1B74624E"/>
    <w:rsid w:val="1B7B0307"/>
    <w:rsid w:val="1BAF6202"/>
    <w:rsid w:val="1C177CAC"/>
    <w:rsid w:val="1D7E7C3A"/>
    <w:rsid w:val="1E1E766F"/>
    <w:rsid w:val="1E3649B9"/>
    <w:rsid w:val="1E470974"/>
    <w:rsid w:val="1E861550"/>
    <w:rsid w:val="1E9E3D60"/>
    <w:rsid w:val="1EC55E72"/>
    <w:rsid w:val="1F160E53"/>
    <w:rsid w:val="1F7F7C9A"/>
    <w:rsid w:val="1F9B25EB"/>
    <w:rsid w:val="1FDE2C12"/>
    <w:rsid w:val="205B24B5"/>
    <w:rsid w:val="209634ED"/>
    <w:rsid w:val="21614958"/>
    <w:rsid w:val="21747CD2"/>
    <w:rsid w:val="21E64000"/>
    <w:rsid w:val="22D51F12"/>
    <w:rsid w:val="2338088B"/>
    <w:rsid w:val="23737B15"/>
    <w:rsid w:val="23F549EC"/>
    <w:rsid w:val="243F562D"/>
    <w:rsid w:val="244966BD"/>
    <w:rsid w:val="24683EA2"/>
    <w:rsid w:val="246D0A09"/>
    <w:rsid w:val="247043FE"/>
    <w:rsid w:val="24F86524"/>
    <w:rsid w:val="25201F1F"/>
    <w:rsid w:val="25835A82"/>
    <w:rsid w:val="260542C2"/>
    <w:rsid w:val="266D6A9E"/>
    <w:rsid w:val="267E514F"/>
    <w:rsid w:val="26881B2A"/>
    <w:rsid w:val="27196C26"/>
    <w:rsid w:val="27E92A9C"/>
    <w:rsid w:val="2871025D"/>
    <w:rsid w:val="28795B7C"/>
    <w:rsid w:val="28CA467C"/>
    <w:rsid w:val="28EF5E90"/>
    <w:rsid w:val="290336EA"/>
    <w:rsid w:val="2998405D"/>
    <w:rsid w:val="29F4673E"/>
    <w:rsid w:val="2A7F1496"/>
    <w:rsid w:val="2AA9206F"/>
    <w:rsid w:val="2ADE440E"/>
    <w:rsid w:val="2B19479D"/>
    <w:rsid w:val="2C000766"/>
    <w:rsid w:val="2C0954BB"/>
    <w:rsid w:val="2C0D730D"/>
    <w:rsid w:val="2C35005E"/>
    <w:rsid w:val="2CE43832"/>
    <w:rsid w:val="2DC53663"/>
    <w:rsid w:val="2DD90EBD"/>
    <w:rsid w:val="2EA750C4"/>
    <w:rsid w:val="2ECB4CA9"/>
    <w:rsid w:val="2EFB7477"/>
    <w:rsid w:val="2F0D7070"/>
    <w:rsid w:val="2F6824F8"/>
    <w:rsid w:val="2F6F3847"/>
    <w:rsid w:val="2FEE6EA1"/>
    <w:rsid w:val="3099481D"/>
    <w:rsid w:val="30C61BCC"/>
    <w:rsid w:val="30D52D66"/>
    <w:rsid w:val="31132887"/>
    <w:rsid w:val="311566B0"/>
    <w:rsid w:val="31E85B72"/>
    <w:rsid w:val="31F936CE"/>
    <w:rsid w:val="323D7C6C"/>
    <w:rsid w:val="327368E1"/>
    <w:rsid w:val="32904240"/>
    <w:rsid w:val="32981347"/>
    <w:rsid w:val="32CD49DA"/>
    <w:rsid w:val="331A7FAD"/>
    <w:rsid w:val="335350EB"/>
    <w:rsid w:val="33D60378"/>
    <w:rsid w:val="33DE547F"/>
    <w:rsid w:val="343307E1"/>
    <w:rsid w:val="34A246FE"/>
    <w:rsid w:val="34CC52D7"/>
    <w:rsid w:val="352C3FC8"/>
    <w:rsid w:val="355500FE"/>
    <w:rsid w:val="364367C1"/>
    <w:rsid w:val="36CF7301"/>
    <w:rsid w:val="378E529E"/>
    <w:rsid w:val="37DD387E"/>
    <w:rsid w:val="37FE0959"/>
    <w:rsid w:val="38174ABC"/>
    <w:rsid w:val="38D51C48"/>
    <w:rsid w:val="39477622"/>
    <w:rsid w:val="3A3F02FA"/>
    <w:rsid w:val="3A654204"/>
    <w:rsid w:val="3A9A304E"/>
    <w:rsid w:val="3B5207E5"/>
    <w:rsid w:val="3B697D24"/>
    <w:rsid w:val="3BC67FA0"/>
    <w:rsid w:val="3C3E2F5F"/>
    <w:rsid w:val="3CA1529C"/>
    <w:rsid w:val="3CE77152"/>
    <w:rsid w:val="3DC6320C"/>
    <w:rsid w:val="3E1C2E2C"/>
    <w:rsid w:val="3F0F1B8C"/>
    <w:rsid w:val="3FCA4B09"/>
    <w:rsid w:val="401F34D4"/>
    <w:rsid w:val="403326AF"/>
    <w:rsid w:val="406E7B8B"/>
    <w:rsid w:val="407231D7"/>
    <w:rsid w:val="40924768"/>
    <w:rsid w:val="40D23C76"/>
    <w:rsid w:val="40F55BB6"/>
    <w:rsid w:val="410D4CAE"/>
    <w:rsid w:val="412C00FA"/>
    <w:rsid w:val="416272F2"/>
    <w:rsid w:val="42766C33"/>
    <w:rsid w:val="42CE4911"/>
    <w:rsid w:val="42ED123B"/>
    <w:rsid w:val="43B9736F"/>
    <w:rsid w:val="43E31F32"/>
    <w:rsid w:val="440A1978"/>
    <w:rsid w:val="4410397F"/>
    <w:rsid w:val="44315157"/>
    <w:rsid w:val="44D75CFE"/>
    <w:rsid w:val="4583725C"/>
    <w:rsid w:val="45A33E32"/>
    <w:rsid w:val="45C67B21"/>
    <w:rsid w:val="46173604"/>
    <w:rsid w:val="462858B4"/>
    <w:rsid w:val="468E063F"/>
    <w:rsid w:val="46EE5581"/>
    <w:rsid w:val="4710374A"/>
    <w:rsid w:val="4799729B"/>
    <w:rsid w:val="47AC188B"/>
    <w:rsid w:val="47EA2EED"/>
    <w:rsid w:val="491F3DE7"/>
    <w:rsid w:val="49425710"/>
    <w:rsid w:val="495B0D1E"/>
    <w:rsid w:val="49A40179"/>
    <w:rsid w:val="4AFC7AA4"/>
    <w:rsid w:val="4B1B26BD"/>
    <w:rsid w:val="4B3C4B0D"/>
    <w:rsid w:val="4B683D00"/>
    <w:rsid w:val="4B7F0E9E"/>
    <w:rsid w:val="4B971D44"/>
    <w:rsid w:val="4C07756B"/>
    <w:rsid w:val="4C080E93"/>
    <w:rsid w:val="4C4E41A9"/>
    <w:rsid w:val="4CD64AED"/>
    <w:rsid w:val="4D355CB8"/>
    <w:rsid w:val="4D622242"/>
    <w:rsid w:val="4D8E2A71"/>
    <w:rsid w:val="4E163EB1"/>
    <w:rsid w:val="4E65437B"/>
    <w:rsid w:val="4EB66985"/>
    <w:rsid w:val="4EE554BC"/>
    <w:rsid w:val="4F3C1EBC"/>
    <w:rsid w:val="4F427E66"/>
    <w:rsid w:val="4FE15C83"/>
    <w:rsid w:val="502C3A97"/>
    <w:rsid w:val="50A5771A"/>
    <w:rsid w:val="517448D5"/>
    <w:rsid w:val="52B551A5"/>
    <w:rsid w:val="52D675F5"/>
    <w:rsid w:val="52FC0FB2"/>
    <w:rsid w:val="53634C01"/>
    <w:rsid w:val="53EE3DDA"/>
    <w:rsid w:val="556A04C9"/>
    <w:rsid w:val="55AD0B9E"/>
    <w:rsid w:val="55D42E4D"/>
    <w:rsid w:val="563C1E65"/>
    <w:rsid w:val="567D422C"/>
    <w:rsid w:val="56901774"/>
    <w:rsid w:val="56C922BF"/>
    <w:rsid w:val="57C87729"/>
    <w:rsid w:val="585A4BA3"/>
    <w:rsid w:val="58E95889"/>
    <w:rsid w:val="59244AC5"/>
    <w:rsid w:val="593B4656"/>
    <w:rsid w:val="59C503C4"/>
    <w:rsid w:val="59D12838"/>
    <w:rsid w:val="5A1804F3"/>
    <w:rsid w:val="5A601E9A"/>
    <w:rsid w:val="5A871B1D"/>
    <w:rsid w:val="5AA1673B"/>
    <w:rsid w:val="5B5F161C"/>
    <w:rsid w:val="5C341831"/>
    <w:rsid w:val="5C621EFA"/>
    <w:rsid w:val="5C7A2D4A"/>
    <w:rsid w:val="5C93676D"/>
    <w:rsid w:val="5CC2690B"/>
    <w:rsid w:val="5D3C274B"/>
    <w:rsid w:val="5D4D2BAA"/>
    <w:rsid w:val="5D641CA2"/>
    <w:rsid w:val="5E824AD5"/>
    <w:rsid w:val="5F3A715E"/>
    <w:rsid w:val="60AE3960"/>
    <w:rsid w:val="60EC092C"/>
    <w:rsid w:val="60F24707"/>
    <w:rsid w:val="61896BF6"/>
    <w:rsid w:val="61C54B0A"/>
    <w:rsid w:val="61E67129"/>
    <w:rsid w:val="621A6DD3"/>
    <w:rsid w:val="6302457D"/>
    <w:rsid w:val="630E06E5"/>
    <w:rsid w:val="636B5B38"/>
    <w:rsid w:val="63A26001"/>
    <w:rsid w:val="63D57455"/>
    <w:rsid w:val="642B3519"/>
    <w:rsid w:val="64EF09EB"/>
    <w:rsid w:val="65192AF2"/>
    <w:rsid w:val="654C7545"/>
    <w:rsid w:val="65827169"/>
    <w:rsid w:val="66815672"/>
    <w:rsid w:val="67507DF0"/>
    <w:rsid w:val="68103152"/>
    <w:rsid w:val="68F1369C"/>
    <w:rsid w:val="690E58E3"/>
    <w:rsid w:val="69801C11"/>
    <w:rsid w:val="6B032AFA"/>
    <w:rsid w:val="6B1C1E0E"/>
    <w:rsid w:val="6B2111D2"/>
    <w:rsid w:val="6B7C465A"/>
    <w:rsid w:val="6BAE516A"/>
    <w:rsid w:val="6BDD159D"/>
    <w:rsid w:val="6C4A4DF5"/>
    <w:rsid w:val="6C4B76BD"/>
    <w:rsid w:val="6C615D2A"/>
    <w:rsid w:val="6E056B89"/>
    <w:rsid w:val="6E105C5A"/>
    <w:rsid w:val="6E5A6ED5"/>
    <w:rsid w:val="6EDE27DB"/>
    <w:rsid w:val="6F6F4C02"/>
    <w:rsid w:val="70141305"/>
    <w:rsid w:val="702E23C7"/>
    <w:rsid w:val="71E80C9B"/>
    <w:rsid w:val="725B14BE"/>
    <w:rsid w:val="725F0F5E"/>
    <w:rsid w:val="728A3B01"/>
    <w:rsid w:val="72F24B59"/>
    <w:rsid w:val="73071742"/>
    <w:rsid w:val="735D2FC3"/>
    <w:rsid w:val="73752873"/>
    <w:rsid w:val="73970283"/>
    <w:rsid w:val="73A05EA0"/>
    <w:rsid w:val="74555107"/>
    <w:rsid w:val="7456638F"/>
    <w:rsid w:val="747E41BC"/>
    <w:rsid w:val="74A0760B"/>
    <w:rsid w:val="74BC08C2"/>
    <w:rsid w:val="74EE3A66"/>
    <w:rsid w:val="74F11C15"/>
    <w:rsid w:val="74F8595C"/>
    <w:rsid w:val="755521A4"/>
    <w:rsid w:val="75691439"/>
    <w:rsid w:val="770E3E70"/>
    <w:rsid w:val="7771703D"/>
    <w:rsid w:val="778B6351"/>
    <w:rsid w:val="77A051BD"/>
    <w:rsid w:val="77AD62C7"/>
    <w:rsid w:val="78BC6898"/>
    <w:rsid w:val="78F87A16"/>
    <w:rsid w:val="79142376"/>
    <w:rsid w:val="79200D1B"/>
    <w:rsid w:val="7924080B"/>
    <w:rsid w:val="798E117E"/>
    <w:rsid w:val="799F7E92"/>
    <w:rsid w:val="7A102B3D"/>
    <w:rsid w:val="7A434CC1"/>
    <w:rsid w:val="7A6F5AB6"/>
    <w:rsid w:val="7A93026F"/>
    <w:rsid w:val="7AD8185C"/>
    <w:rsid w:val="7B1E74DC"/>
    <w:rsid w:val="7BB06386"/>
    <w:rsid w:val="7BC41E31"/>
    <w:rsid w:val="7C6D224F"/>
    <w:rsid w:val="7C903B5C"/>
    <w:rsid w:val="7CE04A49"/>
    <w:rsid w:val="7D360D32"/>
    <w:rsid w:val="7DA71A0B"/>
    <w:rsid w:val="7E891110"/>
    <w:rsid w:val="7EB32494"/>
    <w:rsid w:val="7EF667A6"/>
    <w:rsid w:val="7FB65F35"/>
    <w:rsid w:val="7FF3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rPr>
  </w:style>
  <w:style w:type="paragraph" w:styleId="4">
    <w:name w:val="Body Text"/>
    <w:basedOn w:val="1"/>
    <w:qFormat/>
    <w:uiPriority w:val="0"/>
    <w:pPr>
      <w:spacing w:after="120"/>
    </w:pPr>
    <w:rPr>
      <w:rFonts w:ascii="Times New Roman" w:hAnsi="Times New Roman"/>
      <w:szCs w:val="24"/>
    </w:rPr>
  </w:style>
  <w:style w:type="paragraph" w:styleId="5">
    <w:name w:val="Body Text Indent"/>
    <w:basedOn w:val="1"/>
    <w:unhideWhenUsed/>
    <w:qFormat/>
    <w:uiPriority w:val="99"/>
    <w:pPr>
      <w:spacing w:after="120"/>
      <w:ind w:left="420" w:leftChars="200"/>
    </w:p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Body Text First Indent 2"/>
    <w:basedOn w:val="5"/>
    <w:unhideWhenUsed/>
    <w:qFormat/>
    <w:uiPriority w:val="99"/>
    <w:pPr>
      <w:ind w:firstLine="420" w:firstLineChars="200"/>
    </w:pPr>
  </w:style>
  <w:style w:type="character" w:styleId="13">
    <w:name w:val="page number"/>
    <w:basedOn w:val="12"/>
    <w:qFormat/>
    <w:uiPriority w:val="0"/>
  </w:style>
  <w:style w:type="character" w:styleId="14">
    <w:name w:val="footnote reference"/>
    <w:basedOn w:val="12"/>
    <w:qFormat/>
    <w:uiPriority w:val="0"/>
    <w:rPr>
      <w:vertAlign w:val="superscript"/>
    </w:rPr>
  </w:style>
  <w:style w:type="paragraph" w:customStyle="1" w:styleId="15">
    <w:name w:val="Body text|1"/>
    <w:basedOn w:val="1"/>
    <w:qFormat/>
    <w:uiPriority w:val="0"/>
    <w:pPr>
      <w:spacing w:line="42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17</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2022-03-02T08:55:00Z</dcterms:created>
  <dc:creator>Administrator</dc:creator>
  <cp:lastModifiedBy>Administrator</cp:lastModifiedBy>
  <cp:lastPrinted>2022-03-15T02:35:00Z</cp:lastPrinted>
  <dcterms:modified xsi:type="dcterms:W3CDTF">2022-04-02T01:42:46Z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0AE457849D00449EA99935E635A5E72E</vt:lpwstr>
  </property>
</Properties>
</file>